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89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left"/>
        <w:textAlignment w:val="auto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附件1</w:t>
      </w:r>
    </w:p>
    <w:p w14:paraId="7A4B7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  <w:lang w:val="en-US" w:eastAsia="zh-CN" w:bidi="ar-SA"/>
        </w:rPr>
        <w:t>湖南省福利彩票发行中心团体意外险</w:t>
      </w:r>
    </w:p>
    <w:p w14:paraId="01929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  <w:lang w:val="en-US" w:eastAsia="zh-CN" w:bidi="ar-SA"/>
        </w:rPr>
        <w:t>采购需求</w:t>
      </w:r>
    </w:p>
    <w:p w14:paraId="5EA9C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bookmarkStart w:id="0" w:name="heading_0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一、项目概况</w:t>
      </w:r>
      <w:bookmarkEnd w:id="0"/>
    </w:p>
    <w:p w14:paraId="4D5F4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为切实保障湖南省福利彩票发行中心在职干部职工的人身安全，有效防范干部职工日常工作、公务出行的各类意外风险，进一步完善单位福利保障体系，提升单位风险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抵御能力，保障干部职工合法权益。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我中心通过公开询价方式采购团体意外险服务，为全体在职干部职工统一投保，加强意外风险保障。</w:t>
      </w:r>
    </w:p>
    <w:p w14:paraId="349A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1" w:name="heading_1"/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  <w:t>二、项目预算</w:t>
      </w:r>
      <w:bookmarkEnd w:id="1"/>
    </w:p>
    <w:p w14:paraId="62EE2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16170元</w:t>
      </w:r>
    </w:p>
    <w:p w14:paraId="1BB79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2" w:name="heading_2"/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  <w:t>三、项目内容</w:t>
      </w:r>
      <w:bookmarkEnd w:id="2"/>
    </w:p>
    <w:p w14:paraId="736D3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</w:pPr>
      <w:bookmarkStart w:id="3" w:name="heading_3"/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（一）采购对象</w:t>
      </w:r>
      <w:bookmarkEnd w:id="3"/>
    </w:p>
    <w:p w14:paraId="38912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选择具备合法保险经营资质、良好商业信誉、专业服务能力与完善售后保障的保险服务供应商，为湖南省福利彩票发行中心提供为期1年的团体意外险投保及配套保险服务。</w:t>
      </w:r>
    </w:p>
    <w:p w14:paraId="4E1E0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</w:pPr>
      <w:bookmarkStart w:id="4" w:name="heading_4"/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（二）采购方式</w:t>
      </w:r>
      <w:bookmarkEnd w:id="4"/>
    </w:p>
    <w:p w14:paraId="4CF3F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公开询价</w:t>
      </w:r>
    </w:p>
    <w:p w14:paraId="1A6E0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</w:pPr>
      <w:bookmarkStart w:id="5" w:name="heading_5"/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（三）保障人数及服务周期</w:t>
      </w:r>
      <w:bookmarkEnd w:id="5"/>
    </w:p>
    <w:p w14:paraId="00F2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保障人数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为42人，服务周期为1年，自保险合同正式生效之日起计算。</w:t>
      </w:r>
    </w:p>
    <w:p w14:paraId="1DBFA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</w:pPr>
      <w:bookmarkStart w:id="6" w:name="heading_6"/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（四）保险保障要求</w:t>
      </w:r>
      <w:bookmarkEnd w:id="6"/>
    </w:p>
    <w:p w14:paraId="2B536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供应商需严格按照以下保障标准提供保险服务，保障范围全面、保额达标，具体保障内容及保额标准如下：</w:t>
      </w:r>
    </w:p>
    <w:p w14:paraId="2FC40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1. 汽车交通意外身故保障：保额100万元/人/年；</w:t>
      </w:r>
    </w:p>
    <w:p w14:paraId="106B6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2. 汽车交通意外伤残保障：保额100万元/人/年；</w:t>
      </w:r>
    </w:p>
    <w:p w14:paraId="5A4E2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3. 飞机交通意外身故保障：保额100万元/人/年；</w:t>
      </w:r>
    </w:p>
    <w:p w14:paraId="6997C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4. 高铁、火车交通意外身故保障：保额100万元/人/年；</w:t>
      </w:r>
    </w:p>
    <w:p w14:paraId="75BB7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5. 意外伤害保障：保额20万元/人/年；</w:t>
      </w:r>
    </w:p>
    <w:p w14:paraId="1B918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6. 意外医疗保障：保额2万元/人/年</w:t>
      </w:r>
    </w:p>
    <w:p w14:paraId="024F1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</w:pPr>
      <w:bookmarkStart w:id="7" w:name="heading_9"/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楷体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七）付款方式</w:t>
      </w:r>
      <w:bookmarkEnd w:id="7"/>
    </w:p>
    <w:p w14:paraId="1AEDC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一次性付款</w:t>
      </w:r>
    </w:p>
    <w:p w14:paraId="6A55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8" w:name="heading_10"/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  <w:t>四、资质要求</w:t>
      </w:r>
      <w:bookmarkEnd w:id="8"/>
    </w:p>
    <w:p w14:paraId="4F805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（一）具有独立承担民事责任的能力，持有合法有效的营业执照；</w:t>
      </w:r>
    </w:p>
    <w:p w14:paraId="2C39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（二）具有良好的商业信誉和健全的财务会计制度，近三年无经营异常、财务亏损等不良记录；</w:t>
      </w:r>
    </w:p>
    <w:p w14:paraId="5114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（三）具备国家金融监督管理总局核发的有效保险经营许可资质，拥有履行本项目合同所需的专业服务团队、理赔服务能力及配套服务体系；</w:t>
      </w:r>
    </w:p>
    <w:p w14:paraId="19638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（四）有依法缴纳税收和社会保障资金的良好记录；</w:t>
      </w:r>
    </w:p>
    <w:p w14:paraId="5E6AC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（五）参加政府采购活动前三年内，在经营活动中没有重大违法记录、无重大保险理赔纠纷及行业处罚记录；</w:t>
      </w:r>
    </w:p>
    <w:p w14:paraId="4EFAA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（六）法律、行政法规规定的其他条件。</w:t>
      </w:r>
    </w:p>
    <w:p w14:paraId="55598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9" w:name="heading_11"/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"/>
        </w:rPr>
        <w:t>五、项目验收及服务要求</w:t>
      </w:r>
      <w:bookmarkEnd w:id="9"/>
    </w:p>
    <w:p w14:paraId="1C3EA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严格依照《湖南省福利彩票发行中心小额零星采购实施办法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修订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》履约验收规定开展验收工作，验收范围包含但不限于核对参保人员花名册、核查年度出险理赔台账等内容。验收不合格的，供应商需在3个工作日内完成整改，直至验收合格，确保采购人合法权益不受损害。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F223DF-1A84-47A0-86C8-854244701D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E2D9670-D577-4DF4-8308-146A728480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08CD788-6DA4-4070-BD72-15BB50D25E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0384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D93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24737BC"/>
    <w:rsid w:val="04E90B5B"/>
    <w:rsid w:val="058663AA"/>
    <w:rsid w:val="0AEA1189"/>
    <w:rsid w:val="0B291CB1"/>
    <w:rsid w:val="0D441024"/>
    <w:rsid w:val="0EF80318"/>
    <w:rsid w:val="14290F74"/>
    <w:rsid w:val="1CA05B4B"/>
    <w:rsid w:val="1F0046F1"/>
    <w:rsid w:val="230E7CB2"/>
    <w:rsid w:val="268F110A"/>
    <w:rsid w:val="270C275B"/>
    <w:rsid w:val="27354315"/>
    <w:rsid w:val="294855A0"/>
    <w:rsid w:val="29BB2216"/>
    <w:rsid w:val="2A8A3C9A"/>
    <w:rsid w:val="2A9767DF"/>
    <w:rsid w:val="2C183950"/>
    <w:rsid w:val="2C964D85"/>
    <w:rsid w:val="2F0953D4"/>
    <w:rsid w:val="32644075"/>
    <w:rsid w:val="351A4295"/>
    <w:rsid w:val="36080591"/>
    <w:rsid w:val="3AB331C1"/>
    <w:rsid w:val="3BCD02B3"/>
    <w:rsid w:val="3D516CC2"/>
    <w:rsid w:val="3E630A5B"/>
    <w:rsid w:val="402661E4"/>
    <w:rsid w:val="43C006FD"/>
    <w:rsid w:val="45F040AE"/>
    <w:rsid w:val="4972249A"/>
    <w:rsid w:val="4C0F2222"/>
    <w:rsid w:val="50210776"/>
    <w:rsid w:val="52731152"/>
    <w:rsid w:val="56517530"/>
    <w:rsid w:val="587C0C3F"/>
    <w:rsid w:val="5AE42ACB"/>
    <w:rsid w:val="5F0E4083"/>
    <w:rsid w:val="5FAA42E4"/>
    <w:rsid w:val="62404A8B"/>
    <w:rsid w:val="6888718C"/>
    <w:rsid w:val="68921DB9"/>
    <w:rsid w:val="6B3C600C"/>
    <w:rsid w:val="6BBD539F"/>
    <w:rsid w:val="71662034"/>
    <w:rsid w:val="71ED0060"/>
    <w:rsid w:val="721970A7"/>
    <w:rsid w:val="739764D5"/>
    <w:rsid w:val="76A06CD9"/>
    <w:rsid w:val="7DE70059"/>
    <w:rsid w:val="7F9322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869</Words>
  <Characters>889</Characters>
  <TotalTime>2</TotalTime>
  <ScaleCrop>false</ScaleCrop>
  <LinksUpToDate>false</LinksUpToDate>
  <CharactersWithSpaces>895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2026-08-07T07:13:00Z</dcterms:created>
  <dc:creator>Apache POI</dc:creator>
  <cp:lastModifiedBy>林军</cp:lastModifiedBy>
  <dcterms:modified xsi:type="dcterms:W3CDTF">2026-08-17T02:09:21Z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{"Label":"1","ContentProducer":"001191110102MACQD9K64010000","ProduceID":"7671184378920176899","ReservedCode1":"","ContentPropagator":"","PropagateID":"","ReservedCode2":""}</vt:lpwstr>
  </property>
  <property fmtid="{D5CDD505-2E9C-101B-9397-08002B2CF9AE}" pid="3" name="KSOTemplateDocerSaveRecord">
    <vt:lpwstr>eyJoZGlkIjoiZWM5OGI3ODk1MTY5MzkyNDQxMzgyNzAxYTllYzMxOGIiLCJ1c2VySWQiOiIxMzEzMDg3MyJ9</vt:lpwstr>
  </property>
  <property fmtid="{D5CDD505-2E9C-101B-9397-08002B2CF9AE}" pid="4" name="KSOProductBuildVer">
    <vt:lpwstr>2052-12.1.0.28043</vt:lpwstr>
  </property>
  <property fmtid="{D5CDD505-2E9C-101B-9397-08002B2CF9AE}" pid="5" name="ICV">
    <vt:lpwstr>FFBB41BF027542AD80D1DF1E5399FBE2_12</vt:lpwstr>
  </property>
</Properties>
</file>