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80" w:lineRule="exact"/>
        <w:jc w:val="center"/>
        <w:rPr>
          <w:rFonts w:eastAsia="黑体"/>
          <w:sz w:val="44"/>
          <w:szCs w:val="44"/>
        </w:rPr>
      </w:pPr>
    </w:p>
    <w:p>
      <w:pPr>
        <w:topLinePunct/>
        <w:spacing w:line="580" w:lineRule="exact"/>
        <w:jc w:val="center"/>
        <w:rPr>
          <w:rFonts w:eastAsia="黑体"/>
          <w:sz w:val="44"/>
          <w:szCs w:val="44"/>
        </w:rPr>
      </w:pPr>
    </w:p>
    <w:p>
      <w:pPr>
        <w:widowControl/>
        <w:jc w:val="center"/>
        <w:rPr>
          <w:rFonts w:eastAsia="方正小标宋_GBK"/>
          <w:kern w:val="0"/>
          <w:sz w:val="72"/>
          <w:szCs w:val="72"/>
        </w:rPr>
      </w:pPr>
      <w:r>
        <w:rPr>
          <w:rFonts w:hint="eastAsia" w:eastAsia="方正小标宋_GBK" w:cs="方正小标宋_GBK"/>
          <w:kern w:val="0"/>
          <w:sz w:val="72"/>
          <w:szCs w:val="72"/>
        </w:rPr>
        <w:t>湖南省民政厅</w:t>
      </w:r>
      <w:r>
        <w:rPr>
          <w:rFonts w:eastAsia="方正小标宋_GBK"/>
          <w:kern w:val="0"/>
          <w:sz w:val="72"/>
          <w:szCs w:val="72"/>
        </w:rPr>
        <w:t>2018</w:t>
      </w:r>
      <w:r>
        <w:rPr>
          <w:rFonts w:hint="eastAsia" w:eastAsia="方正小标宋_GBK" w:cs="方正小标宋_GBK"/>
          <w:kern w:val="0"/>
          <w:sz w:val="72"/>
          <w:szCs w:val="72"/>
        </w:rPr>
        <w:t>年度</w:t>
      </w:r>
    </w:p>
    <w:p>
      <w:pPr>
        <w:widowControl/>
        <w:jc w:val="center"/>
        <w:rPr>
          <w:rFonts w:eastAsia="方正小标宋_GBK"/>
          <w:kern w:val="0"/>
          <w:sz w:val="72"/>
          <w:szCs w:val="72"/>
        </w:rPr>
      </w:pPr>
      <w:r>
        <w:rPr>
          <w:rFonts w:hint="eastAsia" w:eastAsia="方正小标宋_GBK" w:cs="方正小标宋_GBK"/>
          <w:kern w:val="0"/>
          <w:sz w:val="72"/>
          <w:szCs w:val="72"/>
        </w:rPr>
        <w:t>部门决算</w:t>
      </w:r>
    </w:p>
    <w:p>
      <w:pPr>
        <w:widowControl/>
        <w:spacing w:line="600" w:lineRule="exact"/>
        <w:jc w:val="center"/>
        <w:rPr>
          <w:rFonts w:eastAsia="方正小标宋_GBK"/>
          <w:kern w:val="0"/>
          <w:sz w:val="44"/>
          <w:szCs w:val="44"/>
        </w:rPr>
      </w:pPr>
      <w:r>
        <w:rPr>
          <w:rFonts w:eastAsia="方正小标宋_GBK"/>
          <w:kern w:val="0"/>
          <w:sz w:val="44"/>
          <w:szCs w:val="44"/>
        </w:rPr>
        <w:br w:type="page"/>
      </w:r>
      <w:r>
        <w:rPr>
          <w:rFonts w:hint="eastAsia" w:eastAsia="方正小标宋_GBK" w:cs="方正小标宋_GBK"/>
          <w:kern w:val="0"/>
          <w:sz w:val="44"/>
          <w:szCs w:val="44"/>
        </w:rPr>
        <w:t>目</w:t>
      </w:r>
      <w:r>
        <w:rPr>
          <w:rFonts w:eastAsia="方正小标宋_GBK"/>
          <w:kern w:val="0"/>
          <w:sz w:val="44"/>
          <w:szCs w:val="44"/>
        </w:rPr>
        <w:t xml:space="preserve">  </w:t>
      </w:r>
      <w:r>
        <w:rPr>
          <w:rFonts w:hint="eastAsia" w:eastAsia="方正小标宋_GBK" w:cs="方正小标宋_GBK"/>
          <w:kern w:val="0"/>
          <w:sz w:val="44"/>
          <w:szCs w:val="44"/>
        </w:rPr>
        <w:t>录</w:t>
      </w:r>
    </w:p>
    <w:p>
      <w:pPr>
        <w:widowControl/>
        <w:spacing w:line="600" w:lineRule="exact"/>
        <w:rPr>
          <w:rFonts w:eastAsia="Times New Roman"/>
          <w:b/>
          <w:bCs/>
          <w:kern w:val="0"/>
          <w:sz w:val="32"/>
          <w:szCs w:val="32"/>
        </w:rPr>
      </w:pPr>
    </w:p>
    <w:p>
      <w:pPr>
        <w:widowControl/>
        <w:spacing w:line="600" w:lineRule="exact"/>
        <w:ind w:firstLine="640" w:firstLineChars="200"/>
        <w:rPr>
          <w:rFonts w:eastAsia="黑体"/>
          <w:kern w:val="0"/>
          <w:sz w:val="32"/>
          <w:szCs w:val="32"/>
        </w:rPr>
      </w:pPr>
      <w:r>
        <w:rPr>
          <w:rFonts w:hint="eastAsia" w:eastAsia="黑体" w:cs="黑体"/>
          <w:kern w:val="0"/>
          <w:sz w:val="32"/>
          <w:szCs w:val="32"/>
        </w:rPr>
        <w:t>第一部分</w:t>
      </w:r>
      <w:r>
        <w:rPr>
          <w:rFonts w:eastAsia="黑体"/>
          <w:kern w:val="0"/>
          <w:sz w:val="32"/>
          <w:szCs w:val="32"/>
        </w:rPr>
        <w:t xml:space="preserve">  </w:t>
      </w:r>
      <w:r>
        <w:rPr>
          <w:rFonts w:hint="eastAsia" w:eastAsia="黑体" w:cs="黑体"/>
          <w:kern w:val="0"/>
          <w:sz w:val="32"/>
          <w:szCs w:val="32"/>
        </w:rPr>
        <w:t>省民政厅概况</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一、部门职责</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二、机构设置及决算单位构成</w:t>
      </w:r>
    </w:p>
    <w:p>
      <w:pPr>
        <w:widowControl/>
        <w:spacing w:line="600" w:lineRule="exact"/>
        <w:ind w:firstLine="640" w:firstLineChars="200"/>
        <w:rPr>
          <w:rFonts w:eastAsia="黑体"/>
          <w:kern w:val="0"/>
          <w:sz w:val="32"/>
          <w:szCs w:val="32"/>
        </w:rPr>
      </w:pPr>
      <w:r>
        <w:rPr>
          <w:rFonts w:hint="eastAsia" w:eastAsia="黑体" w:cs="黑体"/>
          <w:kern w:val="0"/>
          <w:sz w:val="32"/>
          <w:szCs w:val="32"/>
        </w:rPr>
        <w:t>第二部分</w:t>
      </w:r>
      <w:r>
        <w:rPr>
          <w:rFonts w:eastAsia="黑体"/>
          <w:kern w:val="0"/>
          <w:sz w:val="32"/>
          <w:szCs w:val="32"/>
        </w:rPr>
        <w:t xml:space="preserve">  </w:t>
      </w:r>
      <w:r>
        <w:rPr>
          <w:rFonts w:hint="eastAsia" w:eastAsia="黑体" w:cs="黑体"/>
          <w:kern w:val="0"/>
          <w:sz w:val="32"/>
          <w:szCs w:val="32"/>
        </w:rPr>
        <w:t>省民政厅</w:t>
      </w:r>
      <w:r>
        <w:rPr>
          <w:rFonts w:eastAsia="黑体"/>
          <w:kern w:val="0"/>
          <w:sz w:val="32"/>
          <w:szCs w:val="32"/>
        </w:rPr>
        <w:t>2018</w:t>
      </w:r>
      <w:r>
        <w:rPr>
          <w:rFonts w:hint="eastAsia" w:eastAsia="黑体" w:cs="黑体"/>
          <w:kern w:val="0"/>
          <w:sz w:val="32"/>
          <w:szCs w:val="32"/>
        </w:rPr>
        <w:t>年度部门决算表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一、收入支出决算总表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二、收入决算表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三、支出决算表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四、财政拨款收入支出决算总表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五、一般公共预算财政拨款支出决算表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六、一般公共预算财政拨款基本支出决算表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七、一般公共预算财政拨款</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经费支出决算表</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八、政府性基金预算财政拨款收入支出决算表</w:t>
      </w:r>
    </w:p>
    <w:p>
      <w:pPr>
        <w:widowControl/>
        <w:spacing w:line="600" w:lineRule="exact"/>
        <w:ind w:firstLine="640" w:firstLineChars="200"/>
        <w:rPr>
          <w:rFonts w:eastAsia="黑体"/>
          <w:kern w:val="0"/>
          <w:sz w:val="32"/>
          <w:szCs w:val="32"/>
        </w:rPr>
      </w:pPr>
      <w:r>
        <w:rPr>
          <w:rFonts w:hint="eastAsia" w:eastAsia="黑体" w:cs="黑体"/>
          <w:kern w:val="0"/>
          <w:sz w:val="32"/>
          <w:szCs w:val="32"/>
        </w:rPr>
        <w:t>第三部分</w:t>
      </w:r>
      <w:r>
        <w:rPr>
          <w:rFonts w:eastAsia="黑体"/>
          <w:kern w:val="0"/>
          <w:sz w:val="32"/>
          <w:szCs w:val="32"/>
        </w:rPr>
        <w:t xml:space="preserve">  </w:t>
      </w:r>
      <w:r>
        <w:rPr>
          <w:rFonts w:hint="eastAsia" w:eastAsia="黑体" w:cs="黑体"/>
          <w:kern w:val="0"/>
          <w:sz w:val="32"/>
          <w:szCs w:val="32"/>
        </w:rPr>
        <w:t>省民政厅</w:t>
      </w:r>
      <w:r>
        <w:rPr>
          <w:rFonts w:eastAsia="黑体"/>
          <w:kern w:val="0"/>
          <w:sz w:val="32"/>
          <w:szCs w:val="32"/>
        </w:rPr>
        <w:t>2018</w:t>
      </w:r>
      <w:r>
        <w:rPr>
          <w:rFonts w:hint="eastAsia" w:eastAsia="黑体" w:cs="黑体"/>
          <w:kern w:val="0"/>
          <w:sz w:val="32"/>
          <w:szCs w:val="32"/>
        </w:rPr>
        <w:t>年度部门决算情况说明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一、收入支出决算总体情况说明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二、收入决算情况说明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三、支出决算情况说明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四、财政拨款收入支出决算总体情况说明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五、一般公共预算财政拨款支出决算情况说明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六、一般公共预算财政拨款基本支出决算情况说明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七、一般公共预算财政拨款</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经费支出决算情况说明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八、预算绩效情况说明</w:t>
      </w:r>
    </w:p>
    <w:p>
      <w:pPr>
        <w:widowControl/>
        <w:spacing w:line="600" w:lineRule="exact"/>
        <w:ind w:firstLine="640" w:firstLineChars="200"/>
        <w:rPr>
          <w:rFonts w:eastAsia="仿宋_GB2312"/>
          <w:kern w:val="0"/>
          <w:sz w:val="32"/>
          <w:szCs w:val="32"/>
        </w:rPr>
      </w:pPr>
      <w:r>
        <w:rPr>
          <w:rFonts w:hint="eastAsia" w:eastAsia="仿宋_GB2312" w:cs="仿宋_GB2312"/>
          <w:kern w:val="0"/>
          <w:sz w:val="32"/>
          <w:szCs w:val="32"/>
        </w:rPr>
        <w:t>九、其他重要事项的情况说明</w:t>
      </w:r>
    </w:p>
    <w:p>
      <w:pPr>
        <w:widowControl/>
        <w:spacing w:line="600" w:lineRule="exact"/>
        <w:ind w:firstLine="640" w:firstLineChars="200"/>
        <w:rPr>
          <w:rFonts w:eastAsia="黑体"/>
          <w:kern w:val="0"/>
          <w:sz w:val="32"/>
          <w:szCs w:val="32"/>
        </w:rPr>
      </w:pPr>
      <w:r>
        <w:rPr>
          <w:rFonts w:hint="eastAsia" w:eastAsia="黑体" w:cs="黑体"/>
          <w:kern w:val="0"/>
          <w:sz w:val="32"/>
          <w:szCs w:val="32"/>
        </w:rPr>
        <w:t>第四部分</w:t>
      </w:r>
      <w:r>
        <w:rPr>
          <w:rFonts w:eastAsia="黑体"/>
          <w:kern w:val="0"/>
          <w:sz w:val="32"/>
          <w:szCs w:val="32"/>
        </w:rPr>
        <w:t xml:space="preserve">  </w:t>
      </w:r>
      <w:r>
        <w:rPr>
          <w:rFonts w:hint="eastAsia" w:eastAsia="黑体" w:cs="黑体"/>
          <w:kern w:val="0"/>
          <w:sz w:val="32"/>
          <w:szCs w:val="32"/>
        </w:rPr>
        <w:t>名称解释</w:t>
      </w:r>
    </w:p>
    <w:p>
      <w:pPr>
        <w:topLinePunct/>
        <w:spacing w:line="580" w:lineRule="exact"/>
        <w:jc w:val="center"/>
        <w:rPr>
          <w:rFonts w:eastAsia="方正小标宋简体"/>
          <w:sz w:val="44"/>
          <w:szCs w:val="44"/>
        </w:rPr>
      </w:pPr>
    </w:p>
    <w:p>
      <w:pPr>
        <w:topLinePunct/>
        <w:spacing w:line="540" w:lineRule="exact"/>
        <w:jc w:val="center"/>
        <w:rPr>
          <w:rFonts w:eastAsia="黑体"/>
          <w:sz w:val="32"/>
          <w:szCs w:val="32"/>
        </w:rPr>
      </w:pPr>
      <w:r>
        <w:rPr>
          <w:rFonts w:eastAsia="Times New Roman"/>
          <w:sz w:val="32"/>
          <w:szCs w:val="32"/>
        </w:rPr>
        <w:br w:type="page"/>
      </w:r>
      <w:r>
        <w:rPr>
          <w:rFonts w:hint="eastAsia" w:eastAsia="黑体" w:cs="黑体"/>
          <w:sz w:val="32"/>
          <w:szCs w:val="32"/>
        </w:rPr>
        <w:t>第一部分</w:t>
      </w:r>
      <w:r>
        <w:rPr>
          <w:rFonts w:eastAsia="黑体"/>
          <w:sz w:val="32"/>
          <w:szCs w:val="32"/>
        </w:rPr>
        <w:t xml:space="preserve"> </w:t>
      </w:r>
      <w:r>
        <w:rPr>
          <w:rFonts w:hint="eastAsia" w:eastAsia="黑体" w:cs="黑体"/>
          <w:sz w:val="32"/>
          <w:szCs w:val="32"/>
        </w:rPr>
        <w:t>省民政厅概况</w:t>
      </w:r>
    </w:p>
    <w:p>
      <w:pPr>
        <w:topLinePunct/>
        <w:spacing w:line="540" w:lineRule="exact"/>
        <w:ind w:firstLine="640" w:firstLineChars="200"/>
        <w:rPr>
          <w:rFonts w:eastAsia="黑体"/>
          <w:sz w:val="32"/>
          <w:szCs w:val="32"/>
        </w:rPr>
      </w:pPr>
    </w:p>
    <w:p>
      <w:pPr>
        <w:topLinePunct/>
        <w:spacing w:line="540" w:lineRule="exact"/>
        <w:ind w:firstLine="640" w:firstLineChars="200"/>
        <w:rPr>
          <w:rFonts w:eastAsia="黑体"/>
          <w:sz w:val="32"/>
          <w:szCs w:val="32"/>
        </w:rPr>
      </w:pPr>
      <w:r>
        <w:rPr>
          <w:rFonts w:hint="eastAsia" w:eastAsia="黑体" w:cs="黑体"/>
          <w:sz w:val="32"/>
          <w:szCs w:val="32"/>
        </w:rPr>
        <w:t>一、部门职责</w:t>
      </w:r>
    </w:p>
    <w:p>
      <w:pPr>
        <w:topLinePunct/>
        <w:spacing w:line="540" w:lineRule="exact"/>
        <w:ind w:firstLine="640" w:firstLineChars="200"/>
        <w:rPr>
          <w:rFonts w:eastAsia="仿宋_GB2312"/>
          <w:sz w:val="32"/>
          <w:szCs w:val="32"/>
        </w:rPr>
      </w:pPr>
      <w:r>
        <w:rPr>
          <w:rFonts w:hint="eastAsia" w:eastAsia="仿宋_GB2312" w:cs="仿宋_GB2312"/>
          <w:sz w:val="32"/>
          <w:szCs w:val="32"/>
        </w:rPr>
        <w:t>湖南省民政厅贯彻落实党中央和省委关于民政工作的方针政策和决策部署，在履行职责过程中坚持和加强党对民政工作的集中统一领导，主要职责是：</w:t>
      </w:r>
    </w:p>
    <w:p>
      <w:pPr>
        <w:topLinePunct/>
        <w:spacing w:line="540" w:lineRule="exact"/>
        <w:ind w:firstLine="640" w:firstLineChars="200"/>
        <w:rPr>
          <w:rFonts w:eastAsia="仿宋_GB2312"/>
          <w:sz w:val="32"/>
          <w:szCs w:val="32"/>
        </w:rPr>
      </w:pPr>
      <w:r>
        <w:rPr>
          <w:rFonts w:hint="eastAsia" w:eastAsia="仿宋_GB2312" w:cs="仿宋_GB2312"/>
          <w:sz w:val="32"/>
          <w:szCs w:val="32"/>
        </w:rPr>
        <w:t>（一）拟订全省民政事业发展法规规章草案、政策、规划，制定部门标准并组织实施。</w:t>
      </w:r>
    </w:p>
    <w:p>
      <w:pPr>
        <w:topLinePunct/>
        <w:spacing w:line="540" w:lineRule="exact"/>
        <w:ind w:firstLine="640" w:firstLineChars="200"/>
        <w:rPr>
          <w:rFonts w:eastAsia="仿宋_GB2312"/>
          <w:sz w:val="32"/>
          <w:szCs w:val="32"/>
        </w:rPr>
      </w:pPr>
      <w:r>
        <w:rPr>
          <w:rFonts w:hint="eastAsia" w:eastAsia="仿宋_GB2312" w:cs="仿宋_GB2312"/>
          <w:sz w:val="32"/>
          <w:szCs w:val="32"/>
        </w:rPr>
        <w:t>（二）拟订全省社会团体、基金会、社会服务机构等社会组织登记和监督管理办法并组织实施，依法对社会组织进行登记管理和执法监察。</w:t>
      </w:r>
    </w:p>
    <w:p>
      <w:pPr>
        <w:topLinePunct/>
        <w:spacing w:line="540" w:lineRule="exact"/>
        <w:ind w:firstLine="640" w:firstLineChars="200"/>
        <w:rPr>
          <w:rFonts w:eastAsia="仿宋_GB2312"/>
          <w:sz w:val="32"/>
          <w:szCs w:val="32"/>
        </w:rPr>
      </w:pPr>
      <w:r>
        <w:rPr>
          <w:rFonts w:hint="eastAsia" w:eastAsia="仿宋_GB2312" w:cs="仿宋_GB2312"/>
          <w:sz w:val="32"/>
          <w:szCs w:val="32"/>
        </w:rPr>
        <w:t>（三）拟订全省社会救助政策、标准，统筹社会救助体系建设，负责城乡居民最低生活保障、特困人员救助供养、临时救助、生活无着流浪乞讨人员救助工作。</w:t>
      </w:r>
    </w:p>
    <w:p>
      <w:pPr>
        <w:topLinePunct/>
        <w:spacing w:line="540" w:lineRule="exact"/>
        <w:ind w:firstLine="640" w:firstLineChars="200"/>
        <w:rPr>
          <w:rFonts w:eastAsia="仿宋_GB2312"/>
          <w:sz w:val="32"/>
          <w:szCs w:val="32"/>
        </w:rPr>
      </w:pPr>
      <w:r>
        <w:rPr>
          <w:rFonts w:hint="eastAsia" w:eastAsia="仿宋_GB2312" w:cs="仿宋_GB2312"/>
          <w:sz w:val="32"/>
          <w:szCs w:val="32"/>
        </w:rPr>
        <w:t>（四）拟订全省城乡基层群众自治建设和社区治理政策，指导城乡社区治理体系和治理能力建设，提出加强和改进城乡基层政权建设的建议，推动基层民主政治建设。</w:t>
      </w:r>
    </w:p>
    <w:p>
      <w:pPr>
        <w:topLinePunct/>
        <w:spacing w:line="540" w:lineRule="exact"/>
        <w:ind w:firstLine="640" w:firstLineChars="200"/>
        <w:rPr>
          <w:rFonts w:eastAsia="仿宋_GB2312"/>
          <w:sz w:val="32"/>
          <w:szCs w:val="32"/>
        </w:rPr>
      </w:pPr>
      <w:r>
        <w:rPr>
          <w:rFonts w:hint="eastAsia" w:eastAsia="仿宋_GB2312" w:cs="仿宋_GB2312"/>
          <w:sz w:val="32"/>
          <w:szCs w:val="32"/>
        </w:rPr>
        <w:t>（五）拟订全省行政区划、行政区域界线管理和地名管理政策、标准，负责报国务院和省政府审批的行政区划设立、命名、变更和政府驻地迁移审核工作，组织、指导市县级行政区域界线的勘定和管理工作，负责地名管理工作。</w:t>
      </w:r>
    </w:p>
    <w:p>
      <w:pPr>
        <w:topLinePunct/>
        <w:spacing w:line="540" w:lineRule="exact"/>
        <w:ind w:firstLine="640" w:firstLineChars="200"/>
        <w:rPr>
          <w:rFonts w:eastAsia="仿宋_GB2312"/>
          <w:sz w:val="32"/>
          <w:szCs w:val="32"/>
        </w:rPr>
      </w:pPr>
      <w:r>
        <w:rPr>
          <w:rFonts w:hint="eastAsia" w:eastAsia="仿宋_GB2312" w:cs="仿宋_GB2312"/>
          <w:sz w:val="32"/>
          <w:szCs w:val="32"/>
        </w:rPr>
        <w:t>（六）拟订全省婚姻管理政策并组织实施，推进婚俗改革。</w:t>
      </w:r>
    </w:p>
    <w:p>
      <w:pPr>
        <w:topLinePunct/>
        <w:spacing w:line="540" w:lineRule="exact"/>
        <w:ind w:firstLine="640" w:firstLineChars="200"/>
        <w:rPr>
          <w:rFonts w:eastAsia="仿宋_GB2312"/>
          <w:sz w:val="32"/>
          <w:szCs w:val="32"/>
        </w:rPr>
      </w:pPr>
      <w:r>
        <w:rPr>
          <w:rFonts w:hint="eastAsia" w:eastAsia="仿宋_GB2312" w:cs="仿宋_GB2312"/>
          <w:sz w:val="32"/>
          <w:szCs w:val="32"/>
        </w:rPr>
        <w:t>（七）拟订全省殡葬管理政策、服务规范并组织实施，推进殡葬改革。</w:t>
      </w:r>
    </w:p>
    <w:p>
      <w:pPr>
        <w:topLinePunct/>
        <w:spacing w:line="540" w:lineRule="exact"/>
        <w:ind w:firstLine="640" w:firstLineChars="200"/>
        <w:rPr>
          <w:rFonts w:eastAsia="仿宋_GB2312"/>
          <w:sz w:val="32"/>
          <w:szCs w:val="32"/>
        </w:rPr>
      </w:pPr>
      <w:r>
        <w:rPr>
          <w:rFonts w:hint="eastAsia" w:eastAsia="仿宋_GB2312" w:cs="仿宋_GB2312"/>
          <w:sz w:val="32"/>
          <w:szCs w:val="32"/>
        </w:rPr>
        <w:t>（八）统筹推进、督促指导、监督管理养老服务工作，拟订全省养老服务体系建设规划、政策、标准并组织实施，承担老年人福利和特殊困难老年人救助工作。</w:t>
      </w:r>
    </w:p>
    <w:p>
      <w:pPr>
        <w:topLinePunct/>
        <w:spacing w:line="540" w:lineRule="exact"/>
        <w:ind w:firstLine="640" w:firstLineChars="200"/>
        <w:rPr>
          <w:rFonts w:eastAsia="仿宋_GB2312"/>
          <w:sz w:val="32"/>
          <w:szCs w:val="32"/>
        </w:rPr>
      </w:pPr>
      <w:r>
        <w:rPr>
          <w:rFonts w:hint="eastAsia" w:eastAsia="仿宋_GB2312" w:cs="仿宋_GB2312"/>
          <w:sz w:val="32"/>
          <w:szCs w:val="32"/>
        </w:rPr>
        <w:t>（九）拟订全省残疾人权益保护政策，统筹推进残疾人福利制度建设和康复辅助器具产业发展。</w:t>
      </w:r>
    </w:p>
    <w:p>
      <w:pPr>
        <w:topLinePunct/>
        <w:spacing w:line="540" w:lineRule="exact"/>
        <w:ind w:firstLine="640" w:firstLineChars="200"/>
        <w:rPr>
          <w:rFonts w:eastAsia="仿宋_GB2312"/>
          <w:sz w:val="32"/>
          <w:szCs w:val="32"/>
        </w:rPr>
      </w:pPr>
      <w:r>
        <w:rPr>
          <w:rFonts w:hint="eastAsia" w:eastAsia="仿宋_GB2312" w:cs="仿宋_GB2312"/>
          <w:sz w:val="32"/>
          <w:szCs w:val="32"/>
        </w:rPr>
        <w:t>（十）拟订全省儿童福利、孤弃儿童保障、儿童收养、儿童救助保护政策、标准，健全农村留守儿童关爱服务体系和困境儿童保障制度。</w:t>
      </w:r>
    </w:p>
    <w:p>
      <w:pPr>
        <w:topLinePunct/>
        <w:spacing w:line="540" w:lineRule="exact"/>
        <w:ind w:firstLine="640" w:firstLineChars="200"/>
        <w:rPr>
          <w:rFonts w:eastAsia="仿宋_GB2312"/>
          <w:sz w:val="32"/>
          <w:szCs w:val="32"/>
        </w:rPr>
      </w:pPr>
      <w:r>
        <w:rPr>
          <w:rFonts w:hint="eastAsia" w:eastAsia="仿宋_GB2312" w:cs="仿宋_GB2312"/>
          <w:sz w:val="32"/>
          <w:szCs w:val="32"/>
        </w:rPr>
        <w:t>（十一）组织拟订全省促进慈善事业发展政策，指导社会捐助工作，负责福利彩票管理工作。</w:t>
      </w:r>
    </w:p>
    <w:p>
      <w:pPr>
        <w:topLinePunct/>
        <w:spacing w:line="540" w:lineRule="exact"/>
        <w:ind w:firstLine="640" w:firstLineChars="200"/>
        <w:rPr>
          <w:rFonts w:eastAsia="仿宋_GB2312"/>
          <w:sz w:val="32"/>
          <w:szCs w:val="32"/>
        </w:rPr>
      </w:pPr>
      <w:r>
        <w:rPr>
          <w:rFonts w:hint="eastAsia" w:eastAsia="仿宋_GB2312" w:cs="仿宋_GB2312"/>
          <w:sz w:val="32"/>
          <w:szCs w:val="32"/>
        </w:rPr>
        <w:t>（十二）拟订全省社会工作、志愿服务政策和标准，会同有关部门推进社会工作人才队伍建设和志愿者队伍建设。</w:t>
      </w:r>
    </w:p>
    <w:p>
      <w:pPr>
        <w:topLinePunct/>
        <w:spacing w:line="540" w:lineRule="exact"/>
        <w:ind w:firstLine="640" w:firstLineChars="200"/>
        <w:rPr>
          <w:rFonts w:eastAsia="仿宋_GB2312"/>
          <w:sz w:val="32"/>
          <w:szCs w:val="32"/>
        </w:rPr>
      </w:pPr>
      <w:r>
        <w:rPr>
          <w:rFonts w:hint="eastAsia" w:eastAsia="仿宋_GB2312" w:cs="仿宋_GB2312"/>
          <w:sz w:val="32"/>
          <w:szCs w:val="32"/>
        </w:rPr>
        <w:t>（十三）完成省委省政府交办的其他任务。</w:t>
      </w:r>
    </w:p>
    <w:p>
      <w:pPr>
        <w:topLinePunct/>
        <w:spacing w:line="540" w:lineRule="exact"/>
        <w:ind w:firstLine="640" w:firstLineChars="200"/>
        <w:rPr>
          <w:rFonts w:eastAsia="黑体"/>
          <w:sz w:val="32"/>
          <w:szCs w:val="32"/>
        </w:rPr>
      </w:pPr>
      <w:r>
        <w:rPr>
          <w:rFonts w:hint="eastAsia" w:eastAsia="黑体" w:cs="黑体"/>
          <w:sz w:val="32"/>
          <w:szCs w:val="32"/>
        </w:rPr>
        <w:t>二、机构设置及决算单位构成</w:t>
      </w:r>
    </w:p>
    <w:p>
      <w:pPr>
        <w:topLinePunct/>
        <w:spacing w:line="540" w:lineRule="exact"/>
        <w:ind w:firstLine="643" w:firstLineChars="200"/>
        <w:rPr>
          <w:rFonts w:eastAsia="黑体"/>
          <w:sz w:val="32"/>
          <w:szCs w:val="32"/>
        </w:rPr>
      </w:pPr>
      <w:r>
        <w:rPr>
          <w:rFonts w:hint="eastAsia" w:ascii="楷体_GB2312" w:eastAsia="楷体_GB2312" w:cs="楷体_GB2312"/>
          <w:b/>
          <w:bCs/>
          <w:sz w:val="32"/>
          <w:szCs w:val="32"/>
        </w:rPr>
        <w:t>（一）内设机构设置。</w:t>
      </w:r>
      <w:r>
        <w:rPr>
          <w:rFonts w:hint="eastAsia" w:eastAsia="仿宋_GB2312" w:cs="仿宋_GB2312"/>
          <w:sz w:val="32"/>
          <w:szCs w:val="32"/>
        </w:rPr>
        <w:t>机构改革后，省民政厅内设机构</w:t>
      </w:r>
      <w:r>
        <w:rPr>
          <w:rFonts w:eastAsia="仿宋_GB2312"/>
          <w:sz w:val="32"/>
          <w:szCs w:val="32"/>
        </w:rPr>
        <w:t>13</w:t>
      </w:r>
      <w:r>
        <w:rPr>
          <w:rFonts w:hint="eastAsia" w:eastAsia="仿宋_GB2312" w:cs="仿宋_GB2312"/>
          <w:sz w:val="32"/>
          <w:szCs w:val="32"/>
        </w:rPr>
        <w:t>个，分别是：办公室、政策法规处、社会组织管理局、社会救助处、基层政权和社区治理处、区划地名处、养老服务处、社会事务处、儿童福利处、慈善事业促进和社会工作处、规划财务处、机关党委（人事处）、离退休人员管理服务处，机关行政编制</w:t>
      </w:r>
      <w:r>
        <w:rPr>
          <w:rFonts w:eastAsia="仿宋_GB2312"/>
          <w:sz w:val="32"/>
          <w:szCs w:val="32"/>
        </w:rPr>
        <w:t>91</w:t>
      </w:r>
      <w:r>
        <w:rPr>
          <w:rFonts w:hint="eastAsia" w:eastAsia="仿宋_GB2312" w:cs="仿宋_GB2312"/>
          <w:sz w:val="32"/>
          <w:szCs w:val="32"/>
        </w:rPr>
        <w:t>名。</w:t>
      </w:r>
    </w:p>
    <w:p>
      <w:pPr>
        <w:topLinePunct/>
        <w:spacing w:line="540" w:lineRule="exact"/>
        <w:ind w:firstLine="643" w:firstLineChars="200"/>
        <w:rPr>
          <w:rFonts w:eastAsia="仿宋_GB2312"/>
          <w:sz w:val="32"/>
          <w:szCs w:val="32"/>
        </w:rPr>
      </w:pPr>
      <w:r>
        <w:rPr>
          <w:rFonts w:hint="eastAsia" w:ascii="楷体_GB2312" w:eastAsia="楷体_GB2312" w:cs="楷体_GB2312"/>
          <w:b/>
          <w:bCs/>
          <w:sz w:val="32"/>
          <w:szCs w:val="32"/>
        </w:rPr>
        <w:t>（二）决算单位构成。</w:t>
      </w:r>
      <w:r>
        <w:rPr>
          <w:rFonts w:hint="eastAsia" w:eastAsia="仿宋_GB2312" w:cs="仿宋_GB2312"/>
          <w:sz w:val="32"/>
          <w:szCs w:val="32"/>
        </w:rPr>
        <w:t>省民政厅</w:t>
      </w:r>
      <w:r>
        <w:rPr>
          <w:rFonts w:eastAsia="仿宋_GB2312"/>
          <w:sz w:val="32"/>
          <w:szCs w:val="32"/>
        </w:rPr>
        <w:t>2018</w:t>
      </w:r>
      <w:r>
        <w:rPr>
          <w:rFonts w:hint="eastAsia" w:eastAsia="仿宋_GB2312" w:cs="仿宋_GB2312"/>
          <w:sz w:val="32"/>
          <w:szCs w:val="32"/>
        </w:rPr>
        <w:t>年部门决算汇总公开单位构成包括：省民政厅本级、省假肢矫形康复中心（省康复辅具技术指导中心）、省军供总站、省荣军医院、省救灾物资储备中心共</w:t>
      </w:r>
      <w:r>
        <w:rPr>
          <w:rFonts w:eastAsia="仿宋_GB2312"/>
          <w:sz w:val="32"/>
          <w:szCs w:val="32"/>
        </w:rPr>
        <w:t>5</w:t>
      </w:r>
      <w:r>
        <w:rPr>
          <w:rFonts w:hint="eastAsia" w:eastAsia="仿宋_GB2312" w:cs="仿宋_GB2312"/>
          <w:sz w:val="32"/>
          <w:szCs w:val="32"/>
        </w:rPr>
        <w:t>家单位。</w:t>
      </w:r>
    </w:p>
    <w:p>
      <w:pPr>
        <w:topLinePunct/>
        <w:spacing w:line="580" w:lineRule="exact"/>
        <w:jc w:val="center"/>
        <w:rPr>
          <w:rFonts w:eastAsia="黑体"/>
          <w:sz w:val="32"/>
          <w:szCs w:val="32"/>
        </w:rPr>
      </w:pPr>
      <w:r>
        <w:rPr>
          <w:rFonts w:eastAsia="黑体"/>
          <w:sz w:val="32"/>
          <w:szCs w:val="32"/>
        </w:rPr>
        <w:br w:type="page"/>
      </w:r>
      <w:r>
        <w:rPr>
          <w:rFonts w:hint="eastAsia" w:eastAsia="黑体" w:cs="黑体"/>
          <w:sz w:val="32"/>
          <w:szCs w:val="32"/>
        </w:rPr>
        <w:t>第二部分</w:t>
      </w:r>
      <w:r>
        <w:rPr>
          <w:rFonts w:eastAsia="黑体"/>
          <w:sz w:val="32"/>
          <w:szCs w:val="32"/>
        </w:rPr>
        <w:t xml:space="preserve"> </w:t>
      </w:r>
      <w:r>
        <w:rPr>
          <w:rFonts w:hint="eastAsia" w:eastAsia="黑体" w:cs="黑体"/>
          <w:sz w:val="32"/>
          <w:szCs w:val="32"/>
        </w:rPr>
        <w:t>省民政厅</w:t>
      </w:r>
      <w:r>
        <w:rPr>
          <w:rFonts w:eastAsia="黑体"/>
          <w:sz w:val="32"/>
          <w:szCs w:val="32"/>
        </w:rPr>
        <w:t>2018</w:t>
      </w:r>
      <w:r>
        <w:rPr>
          <w:rFonts w:hint="eastAsia" w:eastAsia="黑体" w:cs="黑体"/>
          <w:sz w:val="32"/>
          <w:szCs w:val="32"/>
        </w:rPr>
        <w:t>年度部门决算表</w:t>
      </w:r>
    </w:p>
    <w:p>
      <w:pPr>
        <w:topLinePunct/>
        <w:spacing w:line="580" w:lineRule="exact"/>
        <w:jc w:val="center"/>
        <w:rPr>
          <w:rFonts w:eastAsia="黑体"/>
          <w:color w:val="000000"/>
          <w:kern w:val="0"/>
          <w:sz w:val="30"/>
          <w:szCs w:val="30"/>
        </w:rPr>
      </w:pPr>
      <w:r>
        <w:rPr>
          <w:rFonts w:hint="eastAsia" w:eastAsia="黑体" w:cs="黑体"/>
          <w:color w:val="000000"/>
          <w:kern w:val="0"/>
          <w:sz w:val="30"/>
          <w:szCs w:val="30"/>
        </w:rPr>
        <w:t>收入支出决算总表</w:t>
      </w:r>
    </w:p>
    <w:p>
      <w:pPr>
        <w:topLinePunct/>
        <w:spacing w:line="300" w:lineRule="exact"/>
        <w:jc w:val="right"/>
        <w:rPr>
          <w:rFonts w:ascii="宋体"/>
          <w:color w:val="000000"/>
          <w:kern w:val="0"/>
        </w:rPr>
      </w:pPr>
      <w:r>
        <w:rPr>
          <w:rFonts w:hint="eastAsia" w:ascii="宋体" w:hAnsi="宋体" w:cs="宋体"/>
          <w:color w:val="000000"/>
          <w:kern w:val="0"/>
        </w:rPr>
        <w:t>公开</w:t>
      </w:r>
      <w:r>
        <w:rPr>
          <w:rFonts w:ascii="宋体" w:hAnsi="宋体" w:cs="宋体"/>
          <w:color w:val="000000"/>
          <w:kern w:val="0"/>
        </w:rPr>
        <w:t>01</w:t>
      </w:r>
      <w:r>
        <w:rPr>
          <w:rFonts w:hint="eastAsia" w:ascii="宋体" w:hAnsi="宋体" w:cs="宋体"/>
          <w:color w:val="000000"/>
          <w:kern w:val="0"/>
        </w:rPr>
        <w:t>表</w:t>
      </w:r>
    </w:p>
    <w:p>
      <w:pPr>
        <w:topLinePunct/>
        <w:spacing w:line="300" w:lineRule="exact"/>
        <w:rPr>
          <w:rFonts w:ascii="宋体"/>
        </w:rPr>
      </w:pPr>
      <w:r>
        <w:rPr>
          <w:rFonts w:hint="eastAsia" w:ascii="宋体" w:hAnsi="宋体" w:cs="宋体"/>
          <w:color w:val="000000"/>
          <w:kern w:val="0"/>
        </w:rPr>
        <w:t>部门：湖南省民政厅</w:t>
      </w:r>
      <w:r>
        <w:rPr>
          <w:rFonts w:ascii="宋体" w:hAnsi="宋体" w:cs="宋体"/>
          <w:color w:val="000000"/>
          <w:kern w:val="0"/>
        </w:rPr>
        <w:t xml:space="preserve">                 2018</w:t>
      </w:r>
      <w:r>
        <w:rPr>
          <w:rFonts w:hint="eastAsia" w:ascii="宋体" w:hAnsi="宋体" w:cs="宋体"/>
          <w:color w:val="000000"/>
          <w:kern w:val="0"/>
        </w:rPr>
        <w:t>年度</w:t>
      </w:r>
      <w:r>
        <w:rPr>
          <w:rFonts w:ascii="宋体" w:hAnsi="宋体" w:cs="宋体"/>
          <w:color w:val="000000"/>
          <w:kern w:val="0"/>
        </w:rPr>
        <w:t xml:space="preserve">                          </w:t>
      </w:r>
      <w:r>
        <w:rPr>
          <w:rFonts w:hint="eastAsia" w:ascii="宋体" w:hAnsi="宋体" w:cs="宋体"/>
          <w:color w:val="000000"/>
          <w:kern w:val="0"/>
        </w:rPr>
        <w:t>金额单位：万元</w:t>
      </w:r>
    </w:p>
    <w:tbl>
      <w:tblPr>
        <w:tblStyle w:val="4"/>
        <w:tblW w:w="9197" w:type="dxa"/>
        <w:tblInd w:w="-106" w:type="dxa"/>
        <w:tblLayout w:type="autofit"/>
        <w:tblCellMar>
          <w:top w:w="0" w:type="dxa"/>
          <w:left w:w="108" w:type="dxa"/>
          <w:bottom w:w="0" w:type="dxa"/>
          <w:right w:w="108" w:type="dxa"/>
        </w:tblCellMar>
      </w:tblPr>
      <w:tblGrid>
        <w:gridCol w:w="2576"/>
        <w:gridCol w:w="539"/>
        <w:gridCol w:w="1295"/>
        <w:gridCol w:w="2967"/>
        <w:gridCol w:w="539"/>
        <w:gridCol w:w="1281"/>
      </w:tblGrid>
      <w:tr>
        <w:tblPrEx>
          <w:tblCellMar>
            <w:top w:w="0" w:type="dxa"/>
            <w:left w:w="108" w:type="dxa"/>
            <w:bottom w:w="0" w:type="dxa"/>
            <w:right w:w="108" w:type="dxa"/>
          </w:tblCellMar>
        </w:tblPrEx>
        <w:trPr>
          <w:trHeight w:val="525" w:hRule="atLeast"/>
          <w:tblHeader/>
        </w:trPr>
        <w:tc>
          <w:tcPr>
            <w:tcW w:w="4410" w:type="dxa"/>
            <w:gridSpan w:val="3"/>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收入</w:t>
            </w:r>
          </w:p>
        </w:tc>
        <w:tc>
          <w:tcPr>
            <w:tcW w:w="4787" w:type="dxa"/>
            <w:gridSpan w:val="3"/>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支出</w:t>
            </w:r>
          </w:p>
        </w:tc>
      </w:tr>
      <w:tr>
        <w:tblPrEx>
          <w:tblCellMar>
            <w:top w:w="0" w:type="dxa"/>
            <w:left w:w="108" w:type="dxa"/>
            <w:bottom w:w="0" w:type="dxa"/>
            <w:right w:w="108" w:type="dxa"/>
          </w:tblCellMar>
        </w:tblPrEx>
        <w:trPr>
          <w:trHeight w:val="525" w:hRule="atLeast"/>
          <w:tblHeader/>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项目</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行次</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金额</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项目</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行次</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金额</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栏次</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　</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栏次</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　</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一、财政拨款收入</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23,864.23</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一、一般公共服务支出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28</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10.00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二、上级补助收入</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二、外交支出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29</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三、事业收入</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67.00</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三、国防支出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30</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四、经营收入</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7,068.40</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四、公共安全支出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31</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五、附属单位上缴收入</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5</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五、教育支出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32</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六、其他收入</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6</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8,521.21</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六、科学技术支出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33</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4.00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7</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七、文化体育与传媒支出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34</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8</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八、社会保障和就业支出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35</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32,431.58</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9</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九、医疗卫生与计划生育支出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36</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545.02</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10</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十、节能环保支出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37</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29.98</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11</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十一、城乡社区支出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38</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12</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十二、农林水支出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39</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13</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十三、交通运输支出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40</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14</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十四、资源勘探信息等支出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41</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15</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十五、商业服务业等支出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42</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16</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十六、金融支出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43</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17</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十七、援助其他地区支出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44</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18</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十八、国土海洋气象等支出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45</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19</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十九、住房保障支出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46</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397.00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20</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二十、粮油物资储备支出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47</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21</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二十一、其他支出</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48</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5,431.44</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22</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49</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本年收入合计</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23</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39,520.83</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rFonts w:hint="eastAsia" w:cs="宋体"/>
                <w:kern w:val="0"/>
              </w:rPr>
              <w:t>本年支出合计</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50</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38,849.02</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用事业基金弥补收支差额</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24</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0.00</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结余分配</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51</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17.25</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年初结转和结余</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25</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9,527.78</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年末结转和结余</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52</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10,182.34</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26</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　</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53</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rFonts w:hint="eastAsia" w:cs="宋体"/>
                <w:kern w:val="0"/>
              </w:rPr>
              <w:t>　</w:t>
            </w:r>
          </w:p>
        </w:tc>
      </w:tr>
      <w:tr>
        <w:tblPrEx>
          <w:tblCellMar>
            <w:top w:w="0" w:type="dxa"/>
            <w:left w:w="108" w:type="dxa"/>
            <w:bottom w:w="0" w:type="dxa"/>
            <w:right w:w="108" w:type="dxa"/>
          </w:tblCellMar>
        </w:tblPrEx>
        <w:trPr>
          <w:trHeight w:val="525" w:hRule="atLeast"/>
        </w:trPr>
        <w:tc>
          <w:tcPr>
            <w:tcW w:w="257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总计</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27</w:t>
            </w:r>
          </w:p>
        </w:tc>
        <w:tc>
          <w:tcPr>
            <w:tcW w:w="1295"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49,048.61</w:t>
            </w:r>
          </w:p>
        </w:tc>
        <w:tc>
          <w:tcPr>
            <w:tcW w:w="2967" w:type="dxa"/>
            <w:tcBorders>
              <w:top w:val="nil"/>
              <w:left w:val="nil"/>
              <w:bottom w:val="single" w:color="000000" w:sz="4" w:space="0"/>
              <w:right w:val="single" w:color="000000" w:sz="4" w:space="0"/>
            </w:tcBorders>
            <w:shd w:val="clear" w:color="000000" w:fill="FFFFFF"/>
            <w:noWrap/>
            <w:vAlign w:val="center"/>
          </w:tcPr>
          <w:p>
            <w:pPr>
              <w:widowControl/>
              <w:jc w:val="left"/>
              <w:rPr>
                <w:kern w:val="0"/>
              </w:rPr>
            </w:pPr>
            <w:r>
              <w:rPr>
                <w:rFonts w:hint="eastAsia" w:cs="宋体"/>
                <w:kern w:val="0"/>
              </w:rPr>
              <w:t>总计</w:t>
            </w:r>
          </w:p>
        </w:tc>
        <w:tc>
          <w:tcPr>
            <w:tcW w:w="539" w:type="dxa"/>
            <w:tcBorders>
              <w:top w:val="nil"/>
              <w:left w:val="nil"/>
              <w:bottom w:val="single" w:color="000000" w:sz="4" w:space="0"/>
              <w:right w:val="single" w:color="000000" w:sz="4" w:space="0"/>
            </w:tcBorders>
            <w:shd w:val="clear" w:color="000000" w:fill="FFFFFF"/>
            <w:noWrap/>
            <w:vAlign w:val="center"/>
          </w:tcPr>
          <w:p>
            <w:pPr>
              <w:widowControl/>
              <w:jc w:val="center"/>
              <w:rPr>
                <w:kern w:val="0"/>
              </w:rPr>
            </w:pPr>
            <w:r>
              <w:rPr>
                <w:kern w:val="0"/>
              </w:rPr>
              <w:t>54</w:t>
            </w:r>
          </w:p>
        </w:tc>
        <w:tc>
          <w:tcPr>
            <w:tcW w:w="1281" w:type="dxa"/>
            <w:tcBorders>
              <w:top w:val="nil"/>
              <w:left w:val="nil"/>
              <w:bottom w:val="single" w:color="000000" w:sz="4" w:space="0"/>
              <w:right w:val="single" w:color="000000" w:sz="4" w:space="0"/>
            </w:tcBorders>
            <w:shd w:val="clear" w:color="000000" w:fill="FFFFFF"/>
            <w:noWrap/>
            <w:vAlign w:val="center"/>
          </w:tcPr>
          <w:p>
            <w:pPr>
              <w:widowControl/>
              <w:jc w:val="right"/>
              <w:rPr>
                <w:kern w:val="0"/>
              </w:rPr>
            </w:pPr>
            <w:r>
              <w:rPr>
                <w:kern w:val="0"/>
              </w:rPr>
              <w:t>49,048.61</w:t>
            </w:r>
          </w:p>
        </w:tc>
      </w:tr>
    </w:tbl>
    <w:p>
      <w:pPr>
        <w:topLinePunct/>
        <w:spacing w:line="400" w:lineRule="exact"/>
        <w:rPr>
          <w:rFonts w:eastAsia="黑体"/>
          <w:sz w:val="32"/>
          <w:szCs w:val="32"/>
        </w:rPr>
      </w:pPr>
      <w:r>
        <w:rPr>
          <w:rFonts w:hint="eastAsia" w:cs="宋体"/>
          <w:kern w:val="0"/>
        </w:rPr>
        <w:t>注：本表反映部门本年度的总收支和年末结转结余情况。</w:t>
      </w:r>
    </w:p>
    <w:p>
      <w:pPr>
        <w:topLinePunct/>
        <w:spacing w:line="400" w:lineRule="exact"/>
        <w:jc w:val="center"/>
        <w:rPr>
          <w:rFonts w:eastAsia="黑体"/>
          <w:sz w:val="32"/>
          <w:szCs w:val="32"/>
        </w:rPr>
        <w:sectPr>
          <w:footerReference r:id="rId3" w:type="default"/>
          <w:pgSz w:w="11906" w:h="16838"/>
          <w:pgMar w:top="2155" w:right="1474" w:bottom="1361" w:left="1588" w:header="0" w:footer="1418" w:gutter="0"/>
          <w:pgNumType w:start="0"/>
          <w:cols w:space="425" w:num="1"/>
          <w:titlePg/>
          <w:docGrid w:linePitch="312" w:charSpace="0"/>
        </w:sectPr>
      </w:pPr>
    </w:p>
    <w:p>
      <w:pPr>
        <w:topLinePunct/>
        <w:spacing w:line="580" w:lineRule="exact"/>
        <w:jc w:val="center"/>
        <w:rPr>
          <w:rFonts w:eastAsia="黑体"/>
          <w:sz w:val="32"/>
          <w:szCs w:val="32"/>
        </w:rPr>
      </w:pPr>
      <w:r>
        <w:rPr>
          <w:rFonts w:hint="eastAsia" w:eastAsia="黑体" w:cs="黑体"/>
          <w:color w:val="000000"/>
          <w:sz w:val="30"/>
          <w:szCs w:val="30"/>
        </w:rPr>
        <w:t>收入决算表</w:t>
      </w:r>
    </w:p>
    <w:p>
      <w:pPr>
        <w:topLinePunct/>
        <w:spacing w:line="300" w:lineRule="exact"/>
        <w:jc w:val="right"/>
        <w:rPr>
          <w:rFonts w:ascii="宋体"/>
          <w:color w:val="000000"/>
        </w:rPr>
      </w:pPr>
      <w:r>
        <w:rPr>
          <w:rFonts w:hint="eastAsia" w:ascii="宋体" w:hAnsi="宋体" w:cs="宋体"/>
          <w:color w:val="000000"/>
        </w:rPr>
        <w:t>公开</w:t>
      </w:r>
      <w:r>
        <w:rPr>
          <w:rFonts w:ascii="宋体" w:hAnsi="宋体" w:cs="宋体"/>
          <w:color w:val="000000"/>
        </w:rPr>
        <w:t>02</w:t>
      </w:r>
      <w:r>
        <w:rPr>
          <w:rFonts w:hint="eastAsia" w:ascii="宋体" w:hAnsi="宋体" w:cs="宋体"/>
          <w:color w:val="000000"/>
        </w:rPr>
        <w:t>表</w:t>
      </w:r>
    </w:p>
    <w:p>
      <w:pPr>
        <w:topLinePunct/>
        <w:spacing w:line="300" w:lineRule="exact"/>
        <w:rPr>
          <w:rFonts w:ascii="宋体"/>
        </w:rPr>
      </w:pPr>
      <w:r>
        <w:rPr>
          <w:rFonts w:hint="eastAsia" w:ascii="宋体" w:hAnsi="宋体" w:cs="宋体"/>
          <w:color w:val="000000"/>
        </w:rPr>
        <w:t>部门：湖南省民政厅</w:t>
      </w:r>
      <w:r>
        <w:rPr>
          <w:rFonts w:ascii="宋体" w:hAnsi="宋体" w:cs="宋体"/>
          <w:color w:val="000000"/>
        </w:rPr>
        <w:t xml:space="preserve">                                       2018</w:t>
      </w:r>
      <w:r>
        <w:rPr>
          <w:rFonts w:hint="eastAsia" w:ascii="宋体" w:hAnsi="宋体" w:cs="宋体"/>
          <w:color w:val="000000"/>
        </w:rPr>
        <w:t>年度</w:t>
      </w:r>
      <w:r>
        <w:rPr>
          <w:rFonts w:ascii="宋体" w:hAnsi="宋体" w:cs="宋体"/>
          <w:color w:val="000000"/>
        </w:rPr>
        <w:t xml:space="preserve">                                              </w:t>
      </w:r>
      <w:r>
        <w:rPr>
          <w:rFonts w:hint="eastAsia" w:ascii="宋体" w:hAnsi="宋体" w:cs="宋体"/>
          <w:color w:val="000000"/>
        </w:rPr>
        <w:t>金额单位：万元</w:t>
      </w:r>
    </w:p>
    <w:tbl>
      <w:tblPr>
        <w:tblStyle w:val="4"/>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2"/>
        <w:gridCol w:w="3858"/>
        <w:gridCol w:w="1462"/>
        <w:gridCol w:w="1357"/>
        <w:gridCol w:w="1235"/>
        <w:gridCol w:w="1199"/>
        <w:gridCol w:w="1252"/>
        <w:gridCol w:w="128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Header/>
        </w:trPr>
        <w:tc>
          <w:tcPr>
            <w:tcW w:w="1668" w:type="pct"/>
            <w:gridSpan w:val="2"/>
            <w:shd w:val="clear" w:color="000000" w:fill="FFFFFF"/>
            <w:noWrap/>
            <w:tcMar>
              <w:top w:w="21" w:type="dxa"/>
              <w:left w:w="21" w:type="dxa"/>
              <w:bottom w:w="0" w:type="dxa"/>
              <w:right w:w="21" w:type="dxa"/>
            </w:tcMar>
            <w:vAlign w:val="center"/>
          </w:tcPr>
          <w:p>
            <w:pPr>
              <w:jc w:val="center"/>
              <w:rPr>
                <w:sz w:val="20"/>
                <w:szCs w:val="20"/>
              </w:rPr>
            </w:pPr>
            <w:r>
              <w:rPr>
                <w:rFonts w:hint="eastAsia" w:cs="宋体"/>
                <w:sz w:val="20"/>
                <w:szCs w:val="20"/>
              </w:rPr>
              <w:t>项</w:t>
            </w:r>
            <w:r>
              <w:rPr>
                <w:sz w:val="20"/>
                <w:szCs w:val="20"/>
              </w:rPr>
              <w:t xml:space="preserve">               </w:t>
            </w:r>
            <w:r>
              <w:rPr>
                <w:rFonts w:hint="eastAsia" w:cs="宋体"/>
                <w:sz w:val="20"/>
                <w:szCs w:val="20"/>
              </w:rPr>
              <w:t>目</w:t>
            </w:r>
          </w:p>
        </w:tc>
        <w:tc>
          <w:tcPr>
            <w:tcW w:w="529"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本年收入合计</w:t>
            </w:r>
          </w:p>
        </w:tc>
        <w:tc>
          <w:tcPr>
            <w:tcW w:w="491"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财政拨款收入</w:t>
            </w:r>
          </w:p>
        </w:tc>
        <w:tc>
          <w:tcPr>
            <w:tcW w:w="447"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上级补助收入</w:t>
            </w:r>
          </w:p>
        </w:tc>
        <w:tc>
          <w:tcPr>
            <w:tcW w:w="434"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事业收入</w:t>
            </w:r>
          </w:p>
        </w:tc>
        <w:tc>
          <w:tcPr>
            <w:tcW w:w="453"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经营收入</w:t>
            </w:r>
          </w:p>
        </w:tc>
        <w:tc>
          <w:tcPr>
            <w:tcW w:w="466"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附属单位上缴收入</w:t>
            </w:r>
          </w:p>
        </w:tc>
        <w:tc>
          <w:tcPr>
            <w:tcW w:w="511"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Header/>
        </w:trPr>
        <w:tc>
          <w:tcPr>
            <w:tcW w:w="1668" w:type="pct"/>
            <w:gridSpan w:val="2"/>
            <w:shd w:val="clear" w:color="000000" w:fill="FFFFFF"/>
            <w:noWrap/>
            <w:tcMar>
              <w:top w:w="21" w:type="dxa"/>
              <w:left w:w="21" w:type="dxa"/>
              <w:bottom w:w="0" w:type="dxa"/>
              <w:right w:w="21" w:type="dxa"/>
            </w:tcMar>
            <w:vAlign w:val="center"/>
          </w:tcPr>
          <w:p>
            <w:pPr>
              <w:jc w:val="center"/>
              <w:rPr>
                <w:sz w:val="20"/>
                <w:szCs w:val="20"/>
              </w:rPr>
            </w:pPr>
            <w:r>
              <w:rPr>
                <w:rFonts w:hint="eastAsia" w:cs="宋体"/>
                <w:sz w:val="20"/>
                <w:szCs w:val="20"/>
              </w:rPr>
              <w:t>项目</w:t>
            </w:r>
          </w:p>
        </w:tc>
        <w:tc>
          <w:tcPr>
            <w:tcW w:w="529" w:type="pct"/>
            <w:vMerge w:val="continue"/>
            <w:vAlign w:val="center"/>
          </w:tcPr>
          <w:p>
            <w:pPr>
              <w:rPr>
                <w:sz w:val="20"/>
                <w:szCs w:val="20"/>
              </w:rPr>
            </w:pPr>
          </w:p>
        </w:tc>
        <w:tc>
          <w:tcPr>
            <w:tcW w:w="491" w:type="pct"/>
            <w:vMerge w:val="continue"/>
            <w:vAlign w:val="center"/>
          </w:tcPr>
          <w:p>
            <w:pPr>
              <w:rPr>
                <w:sz w:val="20"/>
                <w:szCs w:val="20"/>
              </w:rPr>
            </w:pPr>
          </w:p>
        </w:tc>
        <w:tc>
          <w:tcPr>
            <w:tcW w:w="447" w:type="pct"/>
            <w:vMerge w:val="continue"/>
            <w:vAlign w:val="center"/>
          </w:tcPr>
          <w:p>
            <w:pPr>
              <w:rPr>
                <w:sz w:val="20"/>
                <w:szCs w:val="20"/>
              </w:rPr>
            </w:pPr>
          </w:p>
        </w:tc>
        <w:tc>
          <w:tcPr>
            <w:tcW w:w="434" w:type="pct"/>
            <w:vMerge w:val="continue"/>
            <w:vAlign w:val="center"/>
          </w:tcPr>
          <w:p>
            <w:pPr>
              <w:rPr>
                <w:sz w:val="20"/>
                <w:szCs w:val="20"/>
              </w:rPr>
            </w:pPr>
          </w:p>
        </w:tc>
        <w:tc>
          <w:tcPr>
            <w:tcW w:w="453" w:type="pct"/>
            <w:vMerge w:val="continue"/>
            <w:vAlign w:val="center"/>
          </w:tcPr>
          <w:p>
            <w:pPr>
              <w:rPr>
                <w:sz w:val="20"/>
                <w:szCs w:val="20"/>
              </w:rPr>
            </w:pPr>
          </w:p>
        </w:tc>
        <w:tc>
          <w:tcPr>
            <w:tcW w:w="466" w:type="pct"/>
            <w:vMerge w:val="continue"/>
            <w:vAlign w:val="center"/>
          </w:tcPr>
          <w:p>
            <w:pPr>
              <w:rPr>
                <w:sz w:val="20"/>
                <w:szCs w:val="20"/>
              </w:rPr>
            </w:pPr>
          </w:p>
        </w:tc>
        <w:tc>
          <w:tcPr>
            <w:tcW w:w="511"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Header/>
        </w:trPr>
        <w:tc>
          <w:tcPr>
            <w:tcW w:w="272" w:type="pct"/>
            <w:vMerge w:val="restart"/>
            <w:shd w:val="clear" w:color="000000" w:fill="FFFFFF"/>
            <w:tcMar>
              <w:top w:w="21" w:type="dxa"/>
              <w:left w:w="21" w:type="dxa"/>
              <w:bottom w:w="0" w:type="dxa"/>
              <w:right w:w="21" w:type="dxa"/>
            </w:tcMar>
            <w:vAlign w:val="center"/>
          </w:tcPr>
          <w:p>
            <w:pPr>
              <w:jc w:val="center"/>
              <w:rPr>
                <w:sz w:val="20"/>
                <w:szCs w:val="20"/>
              </w:rPr>
            </w:pPr>
            <w:r>
              <w:rPr>
                <w:rFonts w:hint="eastAsia" w:cs="宋体"/>
                <w:sz w:val="20"/>
                <w:szCs w:val="20"/>
              </w:rPr>
              <w:t>功能分类科目编码</w:t>
            </w:r>
          </w:p>
        </w:tc>
        <w:tc>
          <w:tcPr>
            <w:tcW w:w="1396" w:type="pct"/>
            <w:vMerge w:val="restart"/>
            <w:shd w:val="clear" w:color="000000" w:fill="FFFFFF"/>
            <w:noWrap/>
            <w:tcMar>
              <w:top w:w="21" w:type="dxa"/>
              <w:left w:w="21" w:type="dxa"/>
              <w:bottom w:w="0" w:type="dxa"/>
              <w:right w:w="21" w:type="dxa"/>
            </w:tcMar>
            <w:vAlign w:val="center"/>
          </w:tcPr>
          <w:p>
            <w:pPr>
              <w:jc w:val="center"/>
              <w:rPr>
                <w:sz w:val="20"/>
                <w:szCs w:val="20"/>
              </w:rPr>
            </w:pPr>
            <w:r>
              <w:rPr>
                <w:rFonts w:hint="eastAsia" w:cs="宋体"/>
                <w:sz w:val="20"/>
                <w:szCs w:val="20"/>
              </w:rPr>
              <w:t>科目名称</w:t>
            </w:r>
          </w:p>
        </w:tc>
        <w:tc>
          <w:tcPr>
            <w:tcW w:w="529" w:type="pct"/>
            <w:vMerge w:val="continue"/>
            <w:vAlign w:val="center"/>
          </w:tcPr>
          <w:p>
            <w:pPr>
              <w:rPr>
                <w:sz w:val="20"/>
                <w:szCs w:val="20"/>
              </w:rPr>
            </w:pPr>
          </w:p>
        </w:tc>
        <w:tc>
          <w:tcPr>
            <w:tcW w:w="491" w:type="pct"/>
            <w:vMerge w:val="continue"/>
            <w:vAlign w:val="center"/>
          </w:tcPr>
          <w:p>
            <w:pPr>
              <w:rPr>
                <w:sz w:val="20"/>
                <w:szCs w:val="20"/>
              </w:rPr>
            </w:pPr>
          </w:p>
        </w:tc>
        <w:tc>
          <w:tcPr>
            <w:tcW w:w="447" w:type="pct"/>
            <w:vMerge w:val="continue"/>
            <w:vAlign w:val="center"/>
          </w:tcPr>
          <w:p>
            <w:pPr>
              <w:rPr>
                <w:sz w:val="20"/>
                <w:szCs w:val="20"/>
              </w:rPr>
            </w:pPr>
          </w:p>
        </w:tc>
        <w:tc>
          <w:tcPr>
            <w:tcW w:w="434" w:type="pct"/>
            <w:vMerge w:val="continue"/>
            <w:vAlign w:val="center"/>
          </w:tcPr>
          <w:p>
            <w:pPr>
              <w:rPr>
                <w:sz w:val="20"/>
                <w:szCs w:val="20"/>
              </w:rPr>
            </w:pPr>
          </w:p>
        </w:tc>
        <w:tc>
          <w:tcPr>
            <w:tcW w:w="453" w:type="pct"/>
            <w:vMerge w:val="continue"/>
            <w:vAlign w:val="center"/>
          </w:tcPr>
          <w:p>
            <w:pPr>
              <w:rPr>
                <w:sz w:val="20"/>
                <w:szCs w:val="20"/>
              </w:rPr>
            </w:pPr>
          </w:p>
        </w:tc>
        <w:tc>
          <w:tcPr>
            <w:tcW w:w="466" w:type="pct"/>
            <w:vMerge w:val="continue"/>
            <w:vAlign w:val="center"/>
          </w:tcPr>
          <w:p>
            <w:pPr>
              <w:rPr>
                <w:sz w:val="20"/>
                <w:szCs w:val="20"/>
              </w:rPr>
            </w:pPr>
          </w:p>
        </w:tc>
        <w:tc>
          <w:tcPr>
            <w:tcW w:w="511"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Header/>
        </w:trPr>
        <w:tc>
          <w:tcPr>
            <w:tcW w:w="272" w:type="pct"/>
            <w:vMerge w:val="continue"/>
            <w:vAlign w:val="center"/>
          </w:tcPr>
          <w:p>
            <w:pPr>
              <w:rPr>
                <w:sz w:val="20"/>
                <w:szCs w:val="20"/>
              </w:rPr>
            </w:pPr>
          </w:p>
        </w:tc>
        <w:tc>
          <w:tcPr>
            <w:tcW w:w="1396" w:type="pct"/>
            <w:vMerge w:val="continue"/>
            <w:vAlign w:val="center"/>
          </w:tcPr>
          <w:p>
            <w:pPr>
              <w:rPr>
                <w:sz w:val="20"/>
                <w:szCs w:val="20"/>
              </w:rPr>
            </w:pPr>
          </w:p>
        </w:tc>
        <w:tc>
          <w:tcPr>
            <w:tcW w:w="529" w:type="pct"/>
            <w:vMerge w:val="continue"/>
            <w:vAlign w:val="center"/>
          </w:tcPr>
          <w:p>
            <w:pPr>
              <w:rPr>
                <w:sz w:val="20"/>
                <w:szCs w:val="20"/>
              </w:rPr>
            </w:pPr>
          </w:p>
        </w:tc>
        <w:tc>
          <w:tcPr>
            <w:tcW w:w="491" w:type="pct"/>
            <w:vMerge w:val="continue"/>
            <w:vAlign w:val="center"/>
          </w:tcPr>
          <w:p>
            <w:pPr>
              <w:rPr>
                <w:sz w:val="20"/>
                <w:szCs w:val="20"/>
              </w:rPr>
            </w:pPr>
          </w:p>
        </w:tc>
        <w:tc>
          <w:tcPr>
            <w:tcW w:w="447" w:type="pct"/>
            <w:vMerge w:val="continue"/>
            <w:vAlign w:val="center"/>
          </w:tcPr>
          <w:p>
            <w:pPr>
              <w:rPr>
                <w:sz w:val="20"/>
                <w:szCs w:val="20"/>
              </w:rPr>
            </w:pPr>
          </w:p>
        </w:tc>
        <w:tc>
          <w:tcPr>
            <w:tcW w:w="434" w:type="pct"/>
            <w:vMerge w:val="continue"/>
            <w:vAlign w:val="center"/>
          </w:tcPr>
          <w:p>
            <w:pPr>
              <w:rPr>
                <w:sz w:val="20"/>
                <w:szCs w:val="20"/>
              </w:rPr>
            </w:pPr>
          </w:p>
        </w:tc>
        <w:tc>
          <w:tcPr>
            <w:tcW w:w="453" w:type="pct"/>
            <w:vMerge w:val="continue"/>
            <w:vAlign w:val="center"/>
          </w:tcPr>
          <w:p>
            <w:pPr>
              <w:rPr>
                <w:sz w:val="20"/>
                <w:szCs w:val="20"/>
              </w:rPr>
            </w:pPr>
          </w:p>
        </w:tc>
        <w:tc>
          <w:tcPr>
            <w:tcW w:w="466" w:type="pct"/>
            <w:vMerge w:val="continue"/>
            <w:vAlign w:val="center"/>
          </w:tcPr>
          <w:p>
            <w:pPr>
              <w:rPr>
                <w:sz w:val="20"/>
                <w:szCs w:val="20"/>
              </w:rPr>
            </w:pPr>
          </w:p>
        </w:tc>
        <w:tc>
          <w:tcPr>
            <w:tcW w:w="511"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tblHeader/>
        </w:trPr>
        <w:tc>
          <w:tcPr>
            <w:tcW w:w="272" w:type="pct"/>
            <w:vMerge w:val="continue"/>
            <w:vAlign w:val="center"/>
          </w:tcPr>
          <w:p>
            <w:pPr>
              <w:rPr>
                <w:sz w:val="20"/>
                <w:szCs w:val="20"/>
              </w:rPr>
            </w:pPr>
          </w:p>
        </w:tc>
        <w:tc>
          <w:tcPr>
            <w:tcW w:w="1396" w:type="pct"/>
            <w:vMerge w:val="continue"/>
            <w:vAlign w:val="center"/>
          </w:tcPr>
          <w:p>
            <w:pPr>
              <w:rPr>
                <w:sz w:val="20"/>
                <w:szCs w:val="20"/>
              </w:rPr>
            </w:pPr>
          </w:p>
        </w:tc>
        <w:tc>
          <w:tcPr>
            <w:tcW w:w="529" w:type="pct"/>
            <w:vMerge w:val="continue"/>
            <w:vAlign w:val="center"/>
          </w:tcPr>
          <w:p>
            <w:pPr>
              <w:rPr>
                <w:sz w:val="20"/>
                <w:szCs w:val="20"/>
              </w:rPr>
            </w:pPr>
          </w:p>
        </w:tc>
        <w:tc>
          <w:tcPr>
            <w:tcW w:w="491" w:type="pct"/>
            <w:vMerge w:val="continue"/>
            <w:vAlign w:val="center"/>
          </w:tcPr>
          <w:p>
            <w:pPr>
              <w:rPr>
                <w:sz w:val="20"/>
                <w:szCs w:val="20"/>
              </w:rPr>
            </w:pPr>
          </w:p>
        </w:tc>
        <w:tc>
          <w:tcPr>
            <w:tcW w:w="447" w:type="pct"/>
            <w:vMerge w:val="continue"/>
            <w:vAlign w:val="center"/>
          </w:tcPr>
          <w:p>
            <w:pPr>
              <w:rPr>
                <w:sz w:val="20"/>
                <w:szCs w:val="20"/>
              </w:rPr>
            </w:pPr>
          </w:p>
        </w:tc>
        <w:tc>
          <w:tcPr>
            <w:tcW w:w="434" w:type="pct"/>
            <w:vMerge w:val="continue"/>
            <w:vAlign w:val="center"/>
          </w:tcPr>
          <w:p>
            <w:pPr>
              <w:rPr>
                <w:sz w:val="20"/>
                <w:szCs w:val="20"/>
              </w:rPr>
            </w:pPr>
          </w:p>
        </w:tc>
        <w:tc>
          <w:tcPr>
            <w:tcW w:w="453" w:type="pct"/>
            <w:vMerge w:val="continue"/>
            <w:vAlign w:val="center"/>
          </w:tcPr>
          <w:p>
            <w:pPr>
              <w:rPr>
                <w:sz w:val="20"/>
                <w:szCs w:val="20"/>
              </w:rPr>
            </w:pPr>
          </w:p>
        </w:tc>
        <w:tc>
          <w:tcPr>
            <w:tcW w:w="466" w:type="pct"/>
            <w:vMerge w:val="continue"/>
            <w:vAlign w:val="center"/>
          </w:tcPr>
          <w:p>
            <w:pPr>
              <w:rPr>
                <w:sz w:val="20"/>
                <w:szCs w:val="20"/>
              </w:rPr>
            </w:pPr>
          </w:p>
        </w:tc>
        <w:tc>
          <w:tcPr>
            <w:tcW w:w="511"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68" w:type="pct"/>
            <w:gridSpan w:val="2"/>
            <w:shd w:val="clear" w:color="000000" w:fill="FFFFFF"/>
            <w:noWrap/>
            <w:tcMar>
              <w:top w:w="21" w:type="dxa"/>
              <w:left w:w="21" w:type="dxa"/>
              <w:bottom w:w="0" w:type="dxa"/>
              <w:right w:w="21" w:type="dxa"/>
            </w:tcMar>
            <w:vAlign w:val="center"/>
          </w:tcPr>
          <w:p>
            <w:pPr>
              <w:jc w:val="center"/>
              <w:rPr>
                <w:sz w:val="20"/>
                <w:szCs w:val="20"/>
              </w:rPr>
            </w:pPr>
            <w:r>
              <w:rPr>
                <w:rFonts w:hint="eastAsia" w:cs="宋体"/>
                <w:sz w:val="20"/>
                <w:szCs w:val="20"/>
              </w:rPr>
              <w:t>栏次</w:t>
            </w:r>
          </w:p>
        </w:tc>
        <w:tc>
          <w:tcPr>
            <w:tcW w:w="529" w:type="pct"/>
            <w:shd w:val="clear" w:color="000000" w:fill="FFFFFF"/>
            <w:tcMar>
              <w:top w:w="21" w:type="dxa"/>
              <w:left w:w="21" w:type="dxa"/>
              <w:bottom w:w="0" w:type="dxa"/>
              <w:right w:w="21" w:type="dxa"/>
            </w:tcMar>
            <w:vAlign w:val="center"/>
          </w:tcPr>
          <w:p>
            <w:pPr>
              <w:jc w:val="center"/>
              <w:rPr>
                <w:sz w:val="20"/>
                <w:szCs w:val="20"/>
              </w:rPr>
            </w:pPr>
            <w:r>
              <w:rPr>
                <w:sz w:val="20"/>
                <w:szCs w:val="20"/>
              </w:rPr>
              <w:t>1</w:t>
            </w:r>
          </w:p>
        </w:tc>
        <w:tc>
          <w:tcPr>
            <w:tcW w:w="491" w:type="pct"/>
            <w:shd w:val="clear" w:color="000000" w:fill="FFFFFF"/>
            <w:tcMar>
              <w:top w:w="21" w:type="dxa"/>
              <w:left w:w="21" w:type="dxa"/>
              <w:bottom w:w="0" w:type="dxa"/>
              <w:right w:w="21" w:type="dxa"/>
            </w:tcMar>
            <w:vAlign w:val="center"/>
          </w:tcPr>
          <w:p>
            <w:pPr>
              <w:jc w:val="center"/>
              <w:rPr>
                <w:sz w:val="20"/>
                <w:szCs w:val="20"/>
              </w:rPr>
            </w:pPr>
            <w:r>
              <w:rPr>
                <w:sz w:val="20"/>
                <w:szCs w:val="20"/>
              </w:rPr>
              <w:t>2</w:t>
            </w:r>
          </w:p>
        </w:tc>
        <w:tc>
          <w:tcPr>
            <w:tcW w:w="447" w:type="pct"/>
            <w:shd w:val="clear" w:color="000000" w:fill="FFFFFF"/>
            <w:tcMar>
              <w:top w:w="21" w:type="dxa"/>
              <w:left w:w="21" w:type="dxa"/>
              <w:bottom w:w="0" w:type="dxa"/>
              <w:right w:w="21" w:type="dxa"/>
            </w:tcMar>
            <w:vAlign w:val="center"/>
          </w:tcPr>
          <w:p>
            <w:pPr>
              <w:jc w:val="center"/>
              <w:rPr>
                <w:sz w:val="20"/>
                <w:szCs w:val="20"/>
              </w:rPr>
            </w:pPr>
            <w:r>
              <w:rPr>
                <w:sz w:val="20"/>
                <w:szCs w:val="20"/>
              </w:rPr>
              <w:t>3</w:t>
            </w:r>
          </w:p>
        </w:tc>
        <w:tc>
          <w:tcPr>
            <w:tcW w:w="434" w:type="pct"/>
            <w:shd w:val="clear" w:color="000000" w:fill="FFFFFF"/>
            <w:tcMar>
              <w:top w:w="21" w:type="dxa"/>
              <w:left w:w="21" w:type="dxa"/>
              <w:bottom w:w="0" w:type="dxa"/>
              <w:right w:w="21" w:type="dxa"/>
            </w:tcMar>
            <w:vAlign w:val="center"/>
          </w:tcPr>
          <w:p>
            <w:pPr>
              <w:jc w:val="center"/>
              <w:rPr>
                <w:sz w:val="20"/>
                <w:szCs w:val="20"/>
              </w:rPr>
            </w:pPr>
            <w:r>
              <w:rPr>
                <w:sz w:val="20"/>
                <w:szCs w:val="20"/>
              </w:rPr>
              <w:t>4</w:t>
            </w:r>
          </w:p>
        </w:tc>
        <w:tc>
          <w:tcPr>
            <w:tcW w:w="453" w:type="pct"/>
            <w:shd w:val="clear" w:color="000000" w:fill="FFFFFF"/>
            <w:tcMar>
              <w:top w:w="21" w:type="dxa"/>
              <w:left w:w="21" w:type="dxa"/>
              <w:bottom w:w="0" w:type="dxa"/>
              <w:right w:w="21" w:type="dxa"/>
            </w:tcMar>
            <w:vAlign w:val="center"/>
          </w:tcPr>
          <w:p>
            <w:pPr>
              <w:jc w:val="center"/>
              <w:rPr>
                <w:sz w:val="20"/>
                <w:szCs w:val="20"/>
              </w:rPr>
            </w:pPr>
            <w:r>
              <w:rPr>
                <w:sz w:val="20"/>
                <w:szCs w:val="20"/>
              </w:rPr>
              <w:t>5</w:t>
            </w:r>
          </w:p>
        </w:tc>
        <w:tc>
          <w:tcPr>
            <w:tcW w:w="466" w:type="pct"/>
            <w:shd w:val="clear" w:color="000000" w:fill="FFFFFF"/>
            <w:tcMar>
              <w:top w:w="21" w:type="dxa"/>
              <w:left w:w="21" w:type="dxa"/>
              <w:bottom w:w="0" w:type="dxa"/>
              <w:right w:w="21" w:type="dxa"/>
            </w:tcMar>
            <w:vAlign w:val="center"/>
          </w:tcPr>
          <w:p>
            <w:pPr>
              <w:jc w:val="center"/>
              <w:rPr>
                <w:sz w:val="20"/>
                <w:szCs w:val="20"/>
              </w:rPr>
            </w:pPr>
            <w:r>
              <w:rPr>
                <w:sz w:val="20"/>
                <w:szCs w:val="20"/>
              </w:rPr>
              <w:t>6</w:t>
            </w:r>
          </w:p>
        </w:tc>
        <w:tc>
          <w:tcPr>
            <w:tcW w:w="511" w:type="pct"/>
            <w:shd w:val="clear" w:color="000000" w:fill="FFFFFF"/>
            <w:tcMar>
              <w:top w:w="21" w:type="dxa"/>
              <w:left w:w="21" w:type="dxa"/>
              <w:bottom w:w="0" w:type="dxa"/>
              <w:right w:w="21" w:type="dxa"/>
            </w:tcMar>
            <w:vAlign w:val="center"/>
          </w:tcPr>
          <w:p>
            <w:pPr>
              <w:jc w:val="center"/>
              <w:rPr>
                <w:sz w:val="20"/>
                <w:szCs w:val="20"/>
              </w:rPr>
            </w:pPr>
            <w:r>
              <w:rPr>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68" w:type="pct"/>
            <w:gridSpan w:val="2"/>
            <w:shd w:val="clear" w:color="000000" w:fill="FFFFFF"/>
            <w:noWrap/>
            <w:tcMar>
              <w:top w:w="21" w:type="dxa"/>
              <w:left w:w="21" w:type="dxa"/>
              <w:bottom w:w="0" w:type="dxa"/>
              <w:right w:w="21" w:type="dxa"/>
            </w:tcMar>
            <w:vAlign w:val="center"/>
          </w:tcPr>
          <w:p>
            <w:pPr>
              <w:rPr>
                <w:sz w:val="20"/>
                <w:szCs w:val="20"/>
              </w:rPr>
            </w:pPr>
            <w:r>
              <w:rPr>
                <w:rFonts w:hint="eastAsia" w:cs="宋体"/>
                <w:sz w:val="20"/>
                <w:szCs w:val="20"/>
              </w:rPr>
              <w:t>合计</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39,520.83</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23,864.23</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67.00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7,068.40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8,521.21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204</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公共安全支出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2.00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2.00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20406</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司法</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2.00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2.00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2040602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一般行政管理事务</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2.00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2.00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206</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科学技术支出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20606</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社会科学</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2060699</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其他社会科学支出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4.00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4.00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社会保障和就业支出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30,686.64</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15,030.04</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67.00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7,068.40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8,521.21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20802</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民政管理事务</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18,204.95</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9,197.31</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15.00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471.44</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8,521.21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行政运行</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6,750.35</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6,750.35</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一般行政管理事务</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11.96</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11.96</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2080205</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老龄事务</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55.00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55.00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2080206</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民间组织管理</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368.00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368.00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2080207</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行政区划和地名管理</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533.00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533.00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2080208</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基层政权和社区建设</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35.00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35.00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2080209</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部队供应</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90.00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90.00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2080299</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其他民政管理事务支出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10,361.65</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1,354.00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15.00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471.44</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8,521.21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20805</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行政事业单位离退休</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543.95</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543.95</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2080505</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机关事业单位基本养老保险缴费支出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543.95</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543.95</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20808</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抚恤</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9,391.14</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3,248.95</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6,142.19</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2080801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死亡抚恤</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36.90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36.90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2080804</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优抚事业单位支出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8,504.24</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2,362.05</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6,142.19</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2080899</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其他优抚支出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850.00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850.00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20809</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退役安置</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160.00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160.00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2080901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退役士兵安置</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2080902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军队移交政府的离退休人员安置</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75.00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75.00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2080903</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军队移交政府离退休干部管理机构</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55.00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55.00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20810</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社会福利</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1,045.88</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539.11</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52.00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454.77</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2081002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老年福利</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40.00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40.00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2081003</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假肢矫形</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1,005.88</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499.11</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52.00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454.77</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20815</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自然灾害生活救助</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1,300.00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1,300.00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2081502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地方自然灾害生活补助</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1,300.00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1,300.00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20820</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临时救助</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40.00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40.00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2082002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流浪乞讨人员救助支出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40.00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40.00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20899</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其他社会保障和就业支出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0.72</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0.72</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2089901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其他社会保障和就业支出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0.72</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0.72</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210</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医疗卫生与计划生育支出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506.20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506.20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21007</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计划生育事务</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8.00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8.00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2100799</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其他计划生育事务支出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8.00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8.00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21011</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行政事业单位医疗</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398.00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398.00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2101101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行政单位医疗</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398.00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398.00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21014</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优抚对象医疗</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100.00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100.00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2101401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优抚对象医疗补助</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100.00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100.00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21099</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其他医疗卫生与计划生育支出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0.20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0.20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2109901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其他医疗卫生与计划生育支出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0.20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0.20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211</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节能环保支出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21110</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能源节约利用</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2111001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能源节约利用</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30.00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30.00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215</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资源勘探信息等支出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21501</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资源勘探开发</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2150199</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其他资源勘探业支出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221</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住房保障支出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397.00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397.00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22102</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住房改革支出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397.00</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397.00</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2210201</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住房公积金</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362.00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362.00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2210203</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购房补贴</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35.00</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35.00</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229</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其他支出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7,891.99</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7,891.99</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b/>
                <w:bCs/>
                <w:sz w:val="20"/>
                <w:szCs w:val="20"/>
              </w:rPr>
            </w:pPr>
            <w:r>
              <w:rPr>
                <w:b/>
                <w:bCs/>
                <w:sz w:val="20"/>
                <w:szCs w:val="20"/>
              </w:rPr>
              <w:t>22960</w:t>
            </w:r>
          </w:p>
        </w:tc>
        <w:tc>
          <w:tcPr>
            <w:tcW w:w="1396" w:type="pct"/>
            <w:shd w:val="clear" w:color="000000" w:fill="FFFFFF"/>
            <w:noWrap/>
            <w:tcMar>
              <w:top w:w="21" w:type="dxa"/>
              <w:left w:w="21" w:type="dxa"/>
              <w:bottom w:w="0" w:type="dxa"/>
              <w:right w:w="21" w:type="dxa"/>
            </w:tcMar>
            <w:vAlign w:val="center"/>
          </w:tcPr>
          <w:p>
            <w:pPr>
              <w:rPr>
                <w:b/>
                <w:bCs/>
                <w:sz w:val="20"/>
                <w:szCs w:val="20"/>
              </w:rPr>
            </w:pPr>
            <w:r>
              <w:rPr>
                <w:rFonts w:hint="eastAsia" w:cs="宋体"/>
                <w:b/>
                <w:bCs/>
                <w:sz w:val="20"/>
                <w:szCs w:val="20"/>
              </w:rPr>
              <w:t>彩票公益金及对应专项债务收入安排的支出</w:t>
            </w:r>
          </w:p>
        </w:tc>
        <w:tc>
          <w:tcPr>
            <w:tcW w:w="529"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7,891.99</w:t>
            </w:r>
          </w:p>
        </w:tc>
        <w:tc>
          <w:tcPr>
            <w:tcW w:w="49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7,891.99</w:t>
            </w:r>
          </w:p>
        </w:tc>
        <w:tc>
          <w:tcPr>
            <w:tcW w:w="447"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34"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53"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466"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c>
          <w:tcPr>
            <w:tcW w:w="511" w:type="pct"/>
            <w:shd w:val="clear" w:color="000000" w:fill="FFFFFF"/>
            <w:noWrap/>
            <w:tcMar>
              <w:top w:w="21" w:type="dxa"/>
              <w:left w:w="21" w:type="dxa"/>
              <w:bottom w:w="0" w:type="dxa"/>
              <w:right w:w="21"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2" w:type="pct"/>
            <w:shd w:val="clear" w:color="000000" w:fill="FFFFFF"/>
            <w:noWrap/>
            <w:tcMar>
              <w:top w:w="21" w:type="dxa"/>
              <w:left w:w="21" w:type="dxa"/>
              <w:bottom w:w="0" w:type="dxa"/>
              <w:right w:w="21" w:type="dxa"/>
            </w:tcMar>
            <w:vAlign w:val="center"/>
          </w:tcPr>
          <w:p>
            <w:pPr>
              <w:rPr>
                <w:sz w:val="20"/>
                <w:szCs w:val="20"/>
              </w:rPr>
            </w:pPr>
            <w:r>
              <w:rPr>
                <w:sz w:val="20"/>
                <w:szCs w:val="20"/>
              </w:rPr>
              <w:t>2296002</w:t>
            </w:r>
          </w:p>
        </w:tc>
        <w:tc>
          <w:tcPr>
            <w:tcW w:w="1396" w:type="pct"/>
            <w:shd w:val="clear" w:color="000000" w:fill="FFFFFF"/>
            <w:noWrap/>
            <w:tcMar>
              <w:top w:w="21" w:type="dxa"/>
              <w:left w:w="21" w:type="dxa"/>
              <w:bottom w:w="0" w:type="dxa"/>
              <w:right w:w="21" w:type="dxa"/>
            </w:tcMar>
            <w:vAlign w:val="center"/>
          </w:tcPr>
          <w:p>
            <w:pPr>
              <w:rPr>
                <w:sz w:val="20"/>
                <w:szCs w:val="20"/>
              </w:rPr>
            </w:pPr>
            <w:r>
              <w:rPr>
                <w:sz w:val="20"/>
                <w:szCs w:val="20"/>
              </w:rPr>
              <w:t xml:space="preserve">  </w:t>
            </w:r>
            <w:r>
              <w:rPr>
                <w:rFonts w:hint="eastAsia" w:cs="宋体"/>
                <w:sz w:val="20"/>
                <w:szCs w:val="20"/>
              </w:rPr>
              <w:t>用于社会福利的彩票公益金支出</w:t>
            </w:r>
          </w:p>
        </w:tc>
        <w:tc>
          <w:tcPr>
            <w:tcW w:w="529" w:type="pct"/>
            <w:shd w:val="clear" w:color="000000" w:fill="FFFFFF"/>
            <w:noWrap/>
            <w:tcMar>
              <w:top w:w="21" w:type="dxa"/>
              <w:left w:w="21" w:type="dxa"/>
              <w:bottom w:w="0" w:type="dxa"/>
              <w:right w:w="21" w:type="dxa"/>
            </w:tcMar>
            <w:vAlign w:val="center"/>
          </w:tcPr>
          <w:p>
            <w:pPr>
              <w:jc w:val="right"/>
              <w:rPr>
                <w:sz w:val="20"/>
                <w:szCs w:val="20"/>
              </w:rPr>
            </w:pPr>
            <w:r>
              <w:rPr>
                <w:sz w:val="20"/>
                <w:szCs w:val="20"/>
              </w:rPr>
              <w:t>7,891.99</w:t>
            </w:r>
          </w:p>
        </w:tc>
        <w:tc>
          <w:tcPr>
            <w:tcW w:w="491" w:type="pct"/>
            <w:shd w:val="clear" w:color="000000" w:fill="FFFFFF"/>
            <w:noWrap/>
            <w:tcMar>
              <w:top w:w="21" w:type="dxa"/>
              <w:left w:w="21" w:type="dxa"/>
              <w:bottom w:w="0" w:type="dxa"/>
              <w:right w:w="21" w:type="dxa"/>
            </w:tcMar>
            <w:vAlign w:val="center"/>
          </w:tcPr>
          <w:p>
            <w:pPr>
              <w:jc w:val="right"/>
              <w:rPr>
                <w:sz w:val="20"/>
                <w:szCs w:val="20"/>
              </w:rPr>
            </w:pPr>
            <w:r>
              <w:rPr>
                <w:sz w:val="20"/>
                <w:szCs w:val="20"/>
              </w:rPr>
              <w:t>7,891.99</w:t>
            </w:r>
          </w:p>
        </w:tc>
        <w:tc>
          <w:tcPr>
            <w:tcW w:w="447"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34"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53"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466"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c>
          <w:tcPr>
            <w:tcW w:w="511" w:type="pct"/>
            <w:shd w:val="clear" w:color="000000" w:fill="FFFFFF"/>
            <w:noWrap/>
            <w:tcMar>
              <w:top w:w="21" w:type="dxa"/>
              <w:left w:w="21" w:type="dxa"/>
              <w:bottom w:w="0" w:type="dxa"/>
              <w:right w:w="21"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5000" w:type="pct"/>
            <w:gridSpan w:val="9"/>
            <w:shd w:val="clear" w:color="000000" w:fill="FFFFFF"/>
            <w:noWrap/>
            <w:tcMar>
              <w:top w:w="21" w:type="dxa"/>
              <w:left w:w="21" w:type="dxa"/>
              <w:bottom w:w="0" w:type="dxa"/>
              <w:right w:w="21" w:type="dxa"/>
            </w:tcMar>
            <w:vAlign w:val="center"/>
          </w:tcPr>
          <w:p>
            <w:pPr>
              <w:rPr>
                <w:sz w:val="20"/>
                <w:szCs w:val="20"/>
              </w:rPr>
            </w:pPr>
            <w:r>
              <w:rPr>
                <w:rFonts w:hint="eastAsia" w:cs="宋体"/>
                <w:sz w:val="20"/>
                <w:szCs w:val="20"/>
              </w:rPr>
              <w:t>注：本表反映部门本年度取得的各项收入情况。</w:t>
            </w:r>
          </w:p>
        </w:tc>
      </w:tr>
    </w:tbl>
    <w:p>
      <w:pPr>
        <w:topLinePunct/>
        <w:spacing w:line="580" w:lineRule="exact"/>
        <w:jc w:val="center"/>
        <w:rPr>
          <w:rFonts w:eastAsia="黑体"/>
          <w:color w:val="000000"/>
          <w:sz w:val="30"/>
          <w:szCs w:val="30"/>
        </w:rPr>
      </w:pPr>
      <w:r>
        <w:rPr>
          <w:rFonts w:eastAsia="黑体"/>
          <w:sz w:val="32"/>
          <w:szCs w:val="32"/>
        </w:rPr>
        <w:br w:type="page"/>
      </w:r>
      <w:r>
        <w:rPr>
          <w:rFonts w:hint="eastAsia" w:eastAsia="黑体" w:cs="黑体"/>
          <w:color w:val="000000"/>
          <w:sz w:val="30"/>
          <w:szCs w:val="30"/>
        </w:rPr>
        <w:t>支出决算表</w:t>
      </w:r>
    </w:p>
    <w:p>
      <w:pPr>
        <w:topLinePunct/>
        <w:spacing w:line="400" w:lineRule="exact"/>
        <w:jc w:val="right"/>
        <w:rPr>
          <w:rFonts w:ascii="宋体"/>
          <w:color w:val="000000"/>
        </w:rPr>
      </w:pPr>
      <w:r>
        <w:rPr>
          <w:rFonts w:hint="eastAsia" w:ascii="宋体" w:hAnsi="宋体" w:cs="宋体"/>
          <w:color w:val="000000"/>
        </w:rPr>
        <w:t>公开</w:t>
      </w:r>
      <w:r>
        <w:rPr>
          <w:rFonts w:ascii="宋体" w:hAnsi="宋体" w:cs="宋体"/>
          <w:color w:val="000000"/>
        </w:rPr>
        <w:t>03</w:t>
      </w:r>
      <w:r>
        <w:rPr>
          <w:rFonts w:hint="eastAsia" w:ascii="宋体" w:hAnsi="宋体" w:cs="宋体"/>
          <w:color w:val="000000"/>
        </w:rPr>
        <w:t>表</w:t>
      </w:r>
    </w:p>
    <w:p>
      <w:pPr>
        <w:topLinePunct/>
        <w:spacing w:line="400" w:lineRule="exact"/>
        <w:rPr>
          <w:rFonts w:ascii="宋体"/>
        </w:rPr>
      </w:pPr>
      <w:r>
        <w:rPr>
          <w:rFonts w:hint="eastAsia" w:ascii="宋体" w:hAnsi="宋体" w:cs="宋体"/>
          <w:color w:val="000000"/>
        </w:rPr>
        <w:t>部门：湖南省民政厅</w:t>
      </w:r>
      <w:r>
        <w:rPr>
          <w:rFonts w:ascii="宋体" w:hAnsi="宋体" w:cs="宋体"/>
          <w:color w:val="000000"/>
        </w:rPr>
        <w:t xml:space="preserve">                                           2018</w:t>
      </w:r>
      <w:r>
        <w:rPr>
          <w:rFonts w:hint="eastAsia" w:ascii="宋体" w:hAnsi="宋体" w:cs="宋体"/>
          <w:color w:val="000000"/>
        </w:rPr>
        <w:t>年度</w:t>
      </w:r>
      <w:r>
        <w:rPr>
          <w:rFonts w:ascii="宋体" w:hAnsi="宋体" w:cs="宋体"/>
          <w:color w:val="000000"/>
        </w:rPr>
        <w:t xml:space="preserve">                                               </w:t>
      </w:r>
      <w:r>
        <w:rPr>
          <w:rFonts w:hint="eastAsia" w:ascii="宋体" w:hAnsi="宋体" w:cs="宋体"/>
          <w:color w:val="000000"/>
        </w:rPr>
        <w:t>金额单位：万元</w:t>
      </w:r>
    </w:p>
    <w:tbl>
      <w:tblPr>
        <w:tblStyle w:val="4"/>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4"/>
        <w:gridCol w:w="3865"/>
        <w:gridCol w:w="1535"/>
        <w:gridCol w:w="1535"/>
        <w:gridCol w:w="1535"/>
        <w:gridCol w:w="1535"/>
        <w:gridCol w:w="1535"/>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trPr>
        <w:tc>
          <w:tcPr>
            <w:tcW w:w="1670" w:type="pct"/>
            <w:gridSpan w:val="2"/>
            <w:shd w:val="clear" w:color="000000" w:fill="FFFFFF"/>
            <w:noWrap/>
            <w:tcMar>
              <w:top w:w="25" w:type="dxa"/>
              <w:left w:w="25" w:type="dxa"/>
              <w:bottom w:w="0" w:type="dxa"/>
              <w:right w:w="25" w:type="dxa"/>
            </w:tcMar>
            <w:vAlign w:val="center"/>
          </w:tcPr>
          <w:p>
            <w:pPr>
              <w:jc w:val="center"/>
              <w:rPr>
                <w:sz w:val="20"/>
                <w:szCs w:val="20"/>
              </w:rPr>
            </w:pPr>
            <w:r>
              <w:rPr>
                <w:rFonts w:hint="eastAsia" w:cs="宋体"/>
                <w:sz w:val="20"/>
                <w:szCs w:val="20"/>
              </w:rPr>
              <w:t>项目</w:t>
            </w:r>
          </w:p>
        </w:tc>
        <w:tc>
          <w:tcPr>
            <w:tcW w:w="555"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本年支出合计</w:t>
            </w:r>
          </w:p>
        </w:tc>
        <w:tc>
          <w:tcPr>
            <w:tcW w:w="555"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基本支出</w:t>
            </w:r>
          </w:p>
        </w:tc>
        <w:tc>
          <w:tcPr>
            <w:tcW w:w="555"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项目支出</w:t>
            </w:r>
          </w:p>
        </w:tc>
        <w:tc>
          <w:tcPr>
            <w:tcW w:w="555"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上缴上级支出</w:t>
            </w:r>
          </w:p>
        </w:tc>
        <w:tc>
          <w:tcPr>
            <w:tcW w:w="555"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经营支出</w:t>
            </w:r>
          </w:p>
        </w:tc>
        <w:tc>
          <w:tcPr>
            <w:tcW w:w="554"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trPr>
        <w:tc>
          <w:tcPr>
            <w:tcW w:w="273" w:type="pct"/>
            <w:vMerge w:val="restart"/>
            <w:shd w:val="clear" w:color="000000" w:fill="FFFFFF"/>
            <w:tcMar>
              <w:top w:w="25" w:type="dxa"/>
              <w:left w:w="25" w:type="dxa"/>
              <w:bottom w:w="0" w:type="dxa"/>
              <w:right w:w="25" w:type="dxa"/>
            </w:tcMar>
            <w:vAlign w:val="center"/>
          </w:tcPr>
          <w:p>
            <w:pPr>
              <w:jc w:val="center"/>
              <w:rPr>
                <w:sz w:val="20"/>
                <w:szCs w:val="20"/>
              </w:rPr>
            </w:pPr>
            <w:r>
              <w:rPr>
                <w:rFonts w:hint="eastAsia" w:cs="宋体"/>
                <w:sz w:val="20"/>
                <w:szCs w:val="20"/>
              </w:rPr>
              <w:t>功能分类科目编码</w:t>
            </w:r>
          </w:p>
        </w:tc>
        <w:tc>
          <w:tcPr>
            <w:tcW w:w="1398" w:type="pct"/>
            <w:vMerge w:val="restart"/>
            <w:shd w:val="clear" w:color="000000" w:fill="FFFFFF"/>
            <w:noWrap/>
            <w:tcMar>
              <w:top w:w="25" w:type="dxa"/>
              <w:left w:w="25" w:type="dxa"/>
              <w:bottom w:w="0" w:type="dxa"/>
              <w:right w:w="25" w:type="dxa"/>
            </w:tcMar>
            <w:vAlign w:val="center"/>
          </w:tcPr>
          <w:p>
            <w:pPr>
              <w:jc w:val="center"/>
              <w:rPr>
                <w:sz w:val="20"/>
                <w:szCs w:val="20"/>
              </w:rPr>
            </w:pPr>
            <w:r>
              <w:rPr>
                <w:rFonts w:hint="eastAsia" w:cs="宋体"/>
                <w:sz w:val="20"/>
                <w:szCs w:val="20"/>
              </w:rPr>
              <w:t>科目名称</w:t>
            </w: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4"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trPr>
        <w:tc>
          <w:tcPr>
            <w:tcW w:w="273" w:type="pct"/>
            <w:vMerge w:val="continue"/>
            <w:vAlign w:val="center"/>
          </w:tcPr>
          <w:p>
            <w:pPr>
              <w:rPr>
                <w:sz w:val="20"/>
                <w:szCs w:val="20"/>
              </w:rPr>
            </w:pPr>
          </w:p>
        </w:tc>
        <w:tc>
          <w:tcPr>
            <w:tcW w:w="1398"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4"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blHeader/>
        </w:trPr>
        <w:tc>
          <w:tcPr>
            <w:tcW w:w="273" w:type="pct"/>
            <w:vMerge w:val="continue"/>
            <w:vAlign w:val="center"/>
          </w:tcPr>
          <w:p>
            <w:pPr>
              <w:rPr>
                <w:sz w:val="20"/>
                <w:szCs w:val="20"/>
              </w:rPr>
            </w:pPr>
          </w:p>
        </w:tc>
        <w:tc>
          <w:tcPr>
            <w:tcW w:w="1398"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5" w:type="pct"/>
            <w:vMerge w:val="continue"/>
            <w:vAlign w:val="center"/>
          </w:tcPr>
          <w:p>
            <w:pPr>
              <w:rPr>
                <w:sz w:val="20"/>
                <w:szCs w:val="20"/>
              </w:rPr>
            </w:pPr>
          </w:p>
        </w:tc>
        <w:tc>
          <w:tcPr>
            <w:tcW w:w="554"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70" w:type="pct"/>
            <w:gridSpan w:val="2"/>
            <w:shd w:val="clear" w:color="000000" w:fill="FFFFFF"/>
            <w:noWrap/>
            <w:tcMar>
              <w:top w:w="25" w:type="dxa"/>
              <w:left w:w="25" w:type="dxa"/>
              <w:bottom w:w="0" w:type="dxa"/>
              <w:right w:w="25" w:type="dxa"/>
            </w:tcMar>
            <w:vAlign w:val="center"/>
          </w:tcPr>
          <w:p>
            <w:pPr>
              <w:jc w:val="center"/>
              <w:rPr>
                <w:sz w:val="20"/>
                <w:szCs w:val="20"/>
              </w:rPr>
            </w:pPr>
            <w:r>
              <w:rPr>
                <w:rFonts w:hint="eastAsia" w:cs="宋体"/>
                <w:sz w:val="20"/>
                <w:szCs w:val="20"/>
              </w:rPr>
              <w:t>栏次</w:t>
            </w:r>
          </w:p>
        </w:tc>
        <w:tc>
          <w:tcPr>
            <w:tcW w:w="555" w:type="pct"/>
            <w:shd w:val="clear" w:color="000000" w:fill="FFFFFF"/>
            <w:tcMar>
              <w:top w:w="25" w:type="dxa"/>
              <w:left w:w="25" w:type="dxa"/>
              <w:bottom w:w="0" w:type="dxa"/>
              <w:right w:w="25" w:type="dxa"/>
            </w:tcMar>
            <w:vAlign w:val="center"/>
          </w:tcPr>
          <w:p>
            <w:pPr>
              <w:jc w:val="center"/>
              <w:rPr>
                <w:sz w:val="20"/>
                <w:szCs w:val="20"/>
              </w:rPr>
            </w:pPr>
            <w:r>
              <w:rPr>
                <w:sz w:val="20"/>
                <w:szCs w:val="20"/>
              </w:rPr>
              <w:t>1</w:t>
            </w:r>
          </w:p>
        </w:tc>
        <w:tc>
          <w:tcPr>
            <w:tcW w:w="555" w:type="pct"/>
            <w:shd w:val="clear" w:color="000000" w:fill="FFFFFF"/>
            <w:tcMar>
              <w:top w:w="25" w:type="dxa"/>
              <w:left w:w="25" w:type="dxa"/>
              <w:bottom w:w="0" w:type="dxa"/>
              <w:right w:w="25" w:type="dxa"/>
            </w:tcMar>
            <w:vAlign w:val="center"/>
          </w:tcPr>
          <w:p>
            <w:pPr>
              <w:jc w:val="center"/>
              <w:rPr>
                <w:sz w:val="20"/>
                <w:szCs w:val="20"/>
              </w:rPr>
            </w:pPr>
            <w:r>
              <w:rPr>
                <w:sz w:val="20"/>
                <w:szCs w:val="20"/>
              </w:rPr>
              <w:t>2</w:t>
            </w:r>
          </w:p>
        </w:tc>
        <w:tc>
          <w:tcPr>
            <w:tcW w:w="555" w:type="pct"/>
            <w:shd w:val="clear" w:color="000000" w:fill="FFFFFF"/>
            <w:tcMar>
              <w:top w:w="25" w:type="dxa"/>
              <w:left w:w="25" w:type="dxa"/>
              <w:bottom w:w="0" w:type="dxa"/>
              <w:right w:w="25" w:type="dxa"/>
            </w:tcMar>
            <w:vAlign w:val="center"/>
          </w:tcPr>
          <w:p>
            <w:pPr>
              <w:jc w:val="center"/>
              <w:rPr>
                <w:sz w:val="20"/>
                <w:szCs w:val="20"/>
              </w:rPr>
            </w:pPr>
            <w:r>
              <w:rPr>
                <w:sz w:val="20"/>
                <w:szCs w:val="20"/>
              </w:rPr>
              <w:t>3</w:t>
            </w:r>
          </w:p>
        </w:tc>
        <w:tc>
          <w:tcPr>
            <w:tcW w:w="555" w:type="pct"/>
            <w:shd w:val="clear" w:color="000000" w:fill="FFFFFF"/>
            <w:tcMar>
              <w:top w:w="25" w:type="dxa"/>
              <w:left w:w="25" w:type="dxa"/>
              <w:bottom w:w="0" w:type="dxa"/>
              <w:right w:w="25" w:type="dxa"/>
            </w:tcMar>
            <w:vAlign w:val="center"/>
          </w:tcPr>
          <w:p>
            <w:pPr>
              <w:jc w:val="center"/>
              <w:rPr>
                <w:sz w:val="20"/>
                <w:szCs w:val="20"/>
              </w:rPr>
            </w:pPr>
            <w:r>
              <w:rPr>
                <w:sz w:val="20"/>
                <w:szCs w:val="20"/>
              </w:rPr>
              <w:t>4</w:t>
            </w:r>
          </w:p>
        </w:tc>
        <w:tc>
          <w:tcPr>
            <w:tcW w:w="555" w:type="pct"/>
            <w:shd w:val="clear" w:color="000000" w:fill="FFFFFF"/>
            <w:tcMar>
              <w:top w:w="25" w:type="dxa"/>
              <w:left w:w="25" w:type="dxa"/>
              <w:bottom w:w="0" w:type="dxa"/>
              <w:right w:w="25" w:type="dxa"/>
            </w:tcMar>
            <w:vAlign w:val="center"/>
          </w:tcPr>
          <w:p>
            <w:pPr>
              <w:jc w:val="center"/>
              <w:rPr>
                <w:sz w:val="20"/>
                <w:szCs w:val="20"/>
              </w:rPr>
            </w:pPr>
            <w:r>
              <w:rPr>
                <w:sz w:val="20"/>
                <w:szCs w:val="20"/>
              </w:rPr>
              <w:t>5</w:t>
            </w:r>
          </w:p>
        </w:tc>
        <w:tc>
          <w:tcPr>
            <w:tcW w:w="554" w:type="pct"/>
            <w:shd w:val="clear" w:color="000000" w:fill="FFFFFF"/>
            <w:tcMar>
              <w:top w:w="25" w:type="dxa"/>
              <w:left w:w="25" w:type="dxa"/>
              <w:bottom w:w="0" w:type="dxa"/>
              <w:right w:w="25" w:type="dxa"/>
            </w:tcMar>
            <w:vAlign w:val="center"/>
          </w:tcPr>
          <w:p>
            <w:pPr>
              <w:jc w:val="center"/>
              <w:rPr>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70" w:type="pct"/>
            <w:gridSpan w:val="2"/>
            <w:shd w:val="clear" w:color="000000" w:fill="FFFFFF"/>
            <w:noWrap/>
            <w:tcMar>
              <w:top w:w="25" w:type="dxa"/>
              <w:left w:w="25" w:type="dxa"/>
              <w:bottom w:w="0" w:type="dxa"/>
              <w:right w:w="25" w:type="dxa"/>
            </w:tcMar>
            <w:vAlign w:val="center"/>
          </w:tcPr>
          <w:p>
            <w:pPr>
              <w:rPr>
                <w:sz w:val="20"/>
                <w:szCs w:val="20"/>
              </w:rPr>
            </w:pPr>
            <w:r>
              <w:rPr>
                <w:rFonts w:hint="eastAsia" w:cs="宋体"/>
                <w:sz w:val="20"/>
                <w:szCs w:val="20"/>
              </w:rPr>
              <w:t>合计</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38,849.02</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9,703.69</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20,900.65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8,244.67</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201</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一般公共服务支出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20117</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质量技术监督与检验检疫事务</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2011709</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标准化管理</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206</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科学技术支出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20606</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社会科学</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2060699</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其他社会科学支出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社会保障和就业支出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32,431.58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8,866.82</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15,320.08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8,244.67</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20802</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民政管理事务</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17,441.36</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6,207.81</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10,684.78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548.77</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行政运行</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6,653.82</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6,207.22</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446.60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2080202</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一般行政管理事务</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11.96</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11.96</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2080205</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老龄事务</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31.17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31.17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2080206</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民间组织管理</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261.05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261.05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2080207</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行政区划和地名管理</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879.09</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879.09</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2080208</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基层政权和社区建设</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16.93</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16.93</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2080209</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部队供应</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90.00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90.00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2080299</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其他民政管理事务支出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9,497.35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0.59</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8,947.99</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548.77</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20805</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行政事业单位离退休</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543.95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543.95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2080505</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机关事业单位基本养老保险缴费支出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543.95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543.95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20808</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抚恤</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10,200.00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1,548.95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1,668.64</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6,982.41</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2080801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死亡抚恤</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36.90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36.90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2080804</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优抚事业单位支出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9,317.72</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1,512.05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823.26</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6,982.41</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2080899</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其他优抚支出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845.38</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845.38</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20809</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退役安置</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114.26</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75.00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39.26</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2080901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退役士兵安置</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17.57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17.57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2080902</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军队移交政府的离退休人员安置</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75.00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75.00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2080903</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军队移交政府离退休干部管理机构</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21.69</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21.69</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20810</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社会福利</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2,183.11</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491.11</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978.50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713.50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2081002</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老年福利</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978.50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978.50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2081003</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假肢矫形</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1,204.61</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491.11</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713.50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20815</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自然灾害生活救助</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1,859.93</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1,859.93</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2081501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中央自然灾害生活补助</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559.96</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559.96</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2081502</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地方自然灾害生活补助</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1,299.97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1,299.97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20820</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临时救助</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88.25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88.25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2082001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临时救助支出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57.00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57.00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2082002</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流浪乞讨人员救助支出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31.25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31.25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20899</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其他社会保障和就业支出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0.72</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0.72</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2089901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其他社会保障和就业支出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0.72</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0.72</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210</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医疗卫生与计划生育支出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545.02</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439.87</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105.15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21007</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计划生育事务</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4.95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4.95</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2100799</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其他计划生育事务支出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4.95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4.95</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21011</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行政事业单位医疗</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439.87</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439.87</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2101101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行政单位医疗</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439.87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439.87</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21014</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优抚对象医疗</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100.00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2101401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优抚对象医疗补助</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100.00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100.00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21099</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其他医疗卫生与计划生育支出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0.20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0.20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2109901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其他医疗卫生与计划生育支出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0.20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0.20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211</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节能环保支出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29.98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29.98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21110</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能源节约利用</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29.98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29.98</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2111001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能源节约利用</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29.98</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29.98</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221</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住房保障支出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397.00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397.00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22102</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住房改革支出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397.00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397.00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2210201</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住房公积金</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362.00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362.00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2210203</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购房补贴</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35.00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35.00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229</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其他支出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5,431.44</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5,431.44</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b/>
                <w:bCs/>
                <w:sz w:val="20"/>
                <w:szCs w:val="20"/>
              </w:rPr>
            </w:pPr>
            <w:r>
              <w:rPr>
                <w:b/>
                <w:bCs/>
                <w:sz w:val="20"/>
                <w:szCs w:val="20"/>
              </w:rPr>
              <w:t>22960</w:t>
            </w:r>
          </w:p>
        </w:tc>
        <w:tc>
          <w:tcPr>
            <w:tcW w:w="1398" w:type="pct"/>
            <w:shd w:val="clear" w:color="000000" w:fill="FFFFFF"/>
            <w:noWrap/>
            <w:tcMar>
              <w:top w:w="25" w:type="dxa"/>
              <w:left w:w="25" w:type="dxa"/>
              <w:bottom w:w="0" w:type="dxa"/>
              <w:right w:w="25" w:type="dxa"/>
            </w:tcMar>
            <w:vAlign w:val="center"/>
          </w:tcPr>
          <w:p>
            <w:pPr>
              <w:rPr>
                <w:b/>
                <w:bCs/>
                <w:sz w:val="20"/>
                <w:szCs w:val="20"/>
              </w:rPr>
            </w:pPr>
            <w:r>
              <w:rPr>
                <w:rFonts w:hint="eastAsia" w:cs="宋体"/>
                <w:b/>
                <w:bCs/>
                <w:sz w:val="20"/>
                <w:szCs w:val="20"/>
              </w:rPr>
              <w:t>彩票公益金及对应专项债务收入安排的支出</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5,431.44</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5,431.44</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5"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c>
          <w:tcPr>
            <w:tcW w:w="554" w:type="pct"/>
            <w:shd w:val="clear" w:color="000000" w:fill="FFFFFF"/>
            <w:noWrap/>
            <w:tcMar>
              <w:top w:w="25" w:type="dxa"/>
              <w:left w:w="25" w:type="dxa"/>
              <w:bottom w:w="0" w:type="dxa"/>
              <w:right w:w="25" w:type="dxa"/>
            </w:tcMar>
            <w:vAlign w:val="center"/>
          </w:tcPr>
          <w:p>
            <w:pPr>
              <w:jc w:val="right"/>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shd w:val="clear" w:color="000000" w:fill="FFFFFF"/>
            <w:noWrap/>
            <w:tcMar>
              <w:top w:w="25" w:type="dxa"/>
              <w:left w:w="25" w:type="dxa"/>
              <w:bottom w:w="0" w:type="dxa"/>
              <w:right w:w="25" w:type="dxa"/>
            </w:tcMar>
            <w:vAlign w:val="center"/>
          </w:tcPr>
          <w:p>
            <w:pPr>
              <w:rPr>
                <w:sz w:val="20"/>
                <w:szCs w:val="20"/>
              </w:rPr>
            </w:pPr>
            <w:r>
              <w:rPr>
                <w:sz w:val="20"/>
                <w:szCs w:val="20"/>
              </w:rPr>
              <w:t>2296002</w:t>
            </w:r>
          </w:p>
        </w:tc>
        <w:tc>
          <w:tcPr>
            <w:tcW w:w="1398" w:type="pct"/>
            <w:shd w:val="clear" w:color="000000" w:fill="FFFFFF"/>
            <w:noWrap/>
            <w:tcMar>
              <w:top w:w="25" w:type="dxa"/>
              <w:left w:w="25" w:type="dxa"/>
              <w:bottom w:w="0" w:type="dxa"/>
              <w:right w:w="25" w:type="dxa"/>
            </w:tcMar>
            <w:vAlign w:val="center"/>
          </w:tcPr>
          <w:p>
            <w:pPr>
              <w:rPr>
                <w:sz w:val="20"/>
                <w:szCs w:val="20"/>
              </w:rPr>
            </w:pPr>
            <w:r>
              <w:rPr>
                <w:sz w:val="20"/>
                <w:szCs w:val="20"/>
              </w:rPr>
              <w:t xml:space="preserve">  </w:t>
            </w:r>
            <w:r>
              <w:rPr>
                <w:rFonts w:hint="eastAsia" w:cs="宋体"/>
                <w:sz w:val="20"/>
                <w:szCs w:val="20"/>
              </w:rPr>
              <w:t>用于社会福利的彩票公益金支出</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5,431.44</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5,431.44</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5"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c>
          <w:tcPr>
            <w:tcW w:w="554" w:type="pct"/>
            <w:shd w:val="clear" w:color="000000" w:fill="FFFFFF"/>
            <w:noWrap/>
            <w:tcMar>
              <w:top w:w="25" w:type="dxa"/>
              <w:left w:w="25" w:type="dxa"/>
              <w:bottom w:w="0" w:type="dxa"/>
              <w:right w:w="25" w:type="dxa"/>
            </w:tcMar>
            <w:vAlign w:val="center"/>
          </w:tcPr>
          <w:p>
            <w:pPr>
              <w:jc w:val="right"/>
              <w:rPr>
                <w:sz w:val="20"/>
                <w:szCs w:val="20"/>
              </w:rPr>
            </w:pPr>
            <w:r>
              <w:rPr>
                <w:sz w:val="20"/>
                <w:szCs w:val="20"/>
              </w:rPr>
              <w:t>0.00</w:t>
            </w:r>
          </w:p>
        </w:tc>
      </w:tr>
    </w:tbl>
    <w:p>
      <w:pPr>
        <w:topLinePunct/>
        <w:spacing w:line="500" w:lineRule="exact"/>
      </w:pPr>
      <w:r>
        <w:rPr>
          <w:rFonts w:hint="eastAsia" w:cs="宋体"/>
        </w:rPr>
        <w:t>注：本表反映部门本年度各项支出情况。</w:t>
      </w:r>
    </w:p>
    <w:p>
      <w:pPr>
        <w:topLinePunct/>
        <w:spacing w:line="500" w:lineRule="exact"/>
        <w:jc w:val="center"/>
        <w:rPr>
          <w:rFonts w:eastAsia="黑体"/>
          <w:color w:val="000000"/>
          <w:sz w:val="30"/>
          <w:szCs w:val="30"/>
        </w:rPr>
      </w:pPr>
      <w:r>
        <w:rPr>
          <w:sz w:val="20"/>
          <w:szCs w:val="20"/>
        </w:rPr>
        <w:br w:type="page"/>
      </w:r>
      <w:r>
        <w:rPr>
          <w:rFonts w:hint="eastAsia" w:eastAsia="黑体" w:cs="黑体"/>
          <w:color w:val="000000"/>
          <w:sz w:val="30"/>
          <w:szCs w:val="30"/>
        </w:rPr>
        <w:t>财政拨款收入支出决算总表</w:t>
      </w:r>
    </w:p>
    <w:p>
      <w:pPr>
        <w:topLinePunct/>
        <w:spacing w:line="400" w:lineRule="exact"/>
        <w:jc w:val="right"/>
        <w:rPr>
          <w:rFonts w:ascii="宋体"/>
          <w:color w:val="000000"/>
        </w:rPr>
      </w:pPr>
      <w:r>
        <w:rPr>
          <w:rFonts w:hint="eastAsia" w:ascii="宋体" w:hAnsi="宋体" w:cs="宋体"/>
          <w:color w:val="000000"/>
        </w:rPr>
        <w:t>公开</w:t>
      </w:r>
      <w:r>
        <w:rPr>
          <w:rFonts w:ascii="宋体" w:hAnsi="宋体" w:cs="宋体"/>
          <w:color w:val="000000"/>
        </w:rPr>
        <w:t>04</w:t>
      </w:r>
      <w:r>
        <w:rPr>
          <w:rFonts w:hint="eastAsia" w:ascii="宋体" w:hAnsi="宋体" w:cs="宋体"/>
          <w:color w:val="000000"/>
        </w:rPr>
        <w:t>表</w:t>
      </w:r>
    </w:p>
    <w:p>
      <w:pPr>
        <w:topLinePunct/>
        <w:spacing w:line="400" w:lineRule="exact"/>
        <w:rPr>
          <w:rFonts w:ascii="宋体"/>
        </w:rPr>
      </w:pPr>
      <w:r>
        <w:rPr>
          <w:rFonts w:hint="eastAsia" w:ascii="宋体" w:hAnsi="宋体" w:cs="宋体"/>
          <w:color w:val="000000"/>
        </w:rPr>
        <w:t>部门：湖南省民政厅</w:t>
      </w:r>
      <w:r>
        <w:rPr>
          <w:rFonts w:ascii="宋体" w:hAnsi="宋体" w:cs="宋体"/>
          <w:color w:val="000000"/>
        </w:rPr>
        <w:t xml:space="preserve">                                         2018</w:t>
      </w:r>
      <w:r>
        <w:rPr>
          <w:rFonts w:hint="eastAsia" w:ascii="宋体" w:hAnsi="宋体" w:cs="宋体"/>
          <w:color w:val="000000"/>
        </w:rPr>
        <w:t>年度</w:t>
      </w:r>
      <w:r>
        <w:rPr>
          <w:rFonts w:ascii="宋体" w:hAnsi="宋体" w:cs="宋体"/>
          <w:color w:val="000000"/>
        </w:rPr>
        <w:t xml:space="preserve">                                                 </w:t>
      </w:r>
      <w:r>
        <w:rPr>
          <w:rFonts w:hint="eastAsia" w:ascii="宋体" w:hAnsi="宋体" w:cs="宋体"/>
          <w:color w:val="000000"/>
        </w:rPr>
        <w:t>金额单位：万元</w:t>
      </w:r>
    </w:p>
    <w:tbl>
      <w:tblPr>
        <w:tblStyle w:val="4"/>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88"/>
        <w:gridCol w:w="547"/>
        <w:gridCol w:w="1586"/>
        <w:gridCol w:w="3188"/>
        <w:gridCol w:w="547"/>
        <w:gridCol w:w="1586"/>
        <w:gridCol w:w="158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Header/>
        </w:trPr>
        <w:tc>
          <w:tcPr>
            <w:tcW w:w="1926" w:type="pct"/>
            <w:gridSpan w:val="3"/>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收</w:t>
            </w:r>
            <w:r>
              <w:rPr>
                <w:sz w:val="20"/>
                <w:szCs w:val="20"/>
              </w:rPr>
              <w:t xml:space="preserve">     </w:t>
            </w:r>
            <w:r>
              <w:rPr>
                <w:rFonts w:hint="eastAsia" w:cs="宋体"/>
                <w:sz w:val="20"/>
                <w:szCs w:val="20"/>
              </w:rPr>
              <w:t>入</w:t>
            </w:r>
          </w:p>
        </w:tc>
        <w:tc>
          <w:tcPr>
            <w:tcW w:w="3074" w:type="pct"/>
            <w:gridSpan w:val="5"/>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支</w:t>
            </w:r>
            <w:r>
              <w:rPr>
                <w:sz w:val="20"/>
                <w:szCs w:val="20"/>
              </w:rPr>
              <w:t xml:space="preserve">     </w:t>
            </w:r>
            <w:r>
              <w:rPr>
                <w:rFonts w:hint="eastAsia" w:cs="宋体"/>
                <w:sz w:val="20"/>
                <w:szCs w:val="20"/>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Header/>
        </w:trPr>
        <w:tc>
          <w:tcPr>
            <w:tcW w:w="1154"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项目</w:t>
            </w:r>
          </w:p>
        </w:tc>
        <w:tc>
          <w:tcPr>
            <w:tcW w:w="198"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行次</w:t>
            </w:r>
          </w:p>
        </w:tc>
        <w:tc>
          <w:tcPr>
            <w:tcW w:w="574"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金额</w:t>
            </w:r>
          </w:p>
        </w:tc>
        <w:tc>
          <w:tcPr>
            <w:tcW w:w="1154"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项目</w:t>
            </w:r>
          </w:p>
        </w:tc>
        <w:tc>
          <w:tcPr>
            <w:tcW w:w="198"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行次</w:t>
            </w:r>
          </w:p>
        </w:tc>
        <w:tc>
          <w:tcPr>
            <w:tcW w:w="574" w:type="pct"/>
            <w:vMerge w:val="restart"/>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合计</w:t>
            </w:r>
          </w:p>
        </w:tc>
        <w:tc>
          <w:tcPr>
            <w:tcW w:w="574"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一般公共预算财政拨款</w:t>
            </w:r>
          </w:p>
        </w:tc>
        <w:tc>
          <w:tcPr>
            <w:tcW w:w="574"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Header/>
        </w:trPr>
        <w:tc>
          <w:tcPr>
            <w:tcW w:w="1154" w:type="pct"/>
            <w:vMerge w:val="continue"/>
            <w:vAlign w:val="center"/>
          </w:tcPr>
          <w:p>
            <w:pPr>
              <w:rPr>
                <w:sz w:val="20"/>
                <w:szCs w:val="20"/>
              </w:rPr>
            </w:pPr>
          </w:p>
        </w:tc>
        <w:tc>
          <w:tcPr>
            <w:tcW w:w="198" w:type="pct"/>
            <w:vMerge w:val="continue"/>
            <w:vAlign w:val="center"/>
          </w:tcPr>
          <w:p>
            <w:pPr>
              <w:rPr>
                <w:sz w:val="20"/>
                <w:szCs w:val="20"/>
              </w:rPr>
            </w:pPr>
          </w:p>
        </w:tc>
        <w:tc>
          <w:tcPr>
            <w:tcW w:w="574" w:type="pct"/>
            <w:vMerge w:val="continue"/>
            <w:vAlign w:val="center"/>
          </w:tcPr>
          <w:p>
            <w:pPr>
              <w:rPr>
                <w:sz w:val="20"/>
                <w:szCs w:val="20"/>
              </w:rPr>
            </w:pPr>
          </w:p>
        </w:tc>
        <w:tc>
          <w:tcPr>
            <w:tcW w:w="1154" w:type="pct"/>
            <w:vMerge w:val="continue"/>
            <w:vAlign w:val="center"/>
          </w:tcPr>
          <w:p>
            <w:pPr>
              <w:rPr>
                <w:sz w:val="20"/>
                <w:szCs w:val="20"/>
              </w:rPr>
            </w:pPr>
          </w:p>
        </w:tc>
        <w:tc>
          <w:tcPr>
            <w:tcW w:w="198" w:type="pct"/>
            <w:vMerge w:val="continue"/>
            <w:vAlign w:val="center"/>
          </w:tcPr>
          <w:p>
            <w:pPr>
              <w:rPr>
                <w:sz w:val="20"/>
                <w:szCs w:val="20"/>
              </w:rPr>
            </w:pPr>
          </w:p>
        </w:tc>
        <w:tc>
          <w:tcPr>
            <w:tcW w:w="574" w:type="pct"/>
            <w:vMerge w:val="continue"/>
            <w:vAlign w:val="center"/>
          </w:tcPr>
          <w:p>
            <w:pPr>
              <w:rPr>
                <w:sz w:val="20"/>
                <w:szCs w:val="20"/>
              </w:rPr>
            </w:pPr>
          </w:p>
        </w:tc>
        <w:tc>
          <w:tcPr>
            <w:tcW w:w="574" w:type="pct"/>
            <w:vMerge w:val="continue"/>
            <w:vAlign w:val="center"/>
          </w:tcPr>
          <w:p>
            <w:pPr>
              <w:rPr>
                <w:sz w:val="20"/>
                <w:szCs w:val="20"/>
              </w:rPr>
            </w:pPr>
          </w:p>
        </w:tc>
        <w:tc>
          <w:tcPr>
            <w:tcW w:w="574"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栏次</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w:t>
            </w:r>
          </w:p>
        </w:tc>
        <w:tc>
          <w:tcPr>
            <w:tcW w:w="1154" w:type="pct"/>
            <w:shd w:val="clear" w:color="000000" w:fill="FFFFFF"/>
            <w:noWrap/>
            <w:tcMar>
              <w:top w:w="19" w:type="dxa"/>
              <w:left w:w="19" w:type="dxa"/>
              <w:bottom w:w="0" w:type="dxa"/>
              <w:right w:w="19" w:type="dxa"/>
            </w:tcMar>
            <w:vAlign w:val="bottom"/>
          </w:tcPr>
          <w:p>
            <w:pPr>
              <w:rPr>
                <w:sz w:val="20"/>
                <w:szCs w:val="20"/>
              </w:rPr>
            </w:pPr>
            <w:r>
              <w:rPr>
                <w:rFonts w:hint="eastAsia" w:cs="宋体"/>
                <w:sz w:val="20"/>
                <w:szCs w:val="20"/>
              </w:rPr>
              <w:t>栏次</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w:t>
            </w:r>
          </w:p>
        </w:tc>
        <w:tc>
          <w:tcPr>
            <w:tcW w:w="574"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w:t>
            </w:r>
          </w:p>
        </w:tc>
        <w:tc>
          <w:tcPr>
            <w:tcW w:w="574"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一、一般公共预算财政拨款</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15,972.24</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一、一般公共服务支出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二、政府性基金预算财政拨款</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7,891.99</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二、外交支出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29</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三、国防支出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四、公共安全支出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五、教育支出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六、科学技术支出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4.00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4.00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7</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七、文化体育与传媒支出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八、社会保障和就业支出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35</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16,436.71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16,436.71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9</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九、医疗卫生与计划生育支出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545.02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545.02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十、节能环保支出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37</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29.98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29.98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十一、城乡社区支出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十二、农林水支出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39</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十三、交通运输支出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十四、资源勘探信息等支出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15</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十五、商业服务业等支出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十六、金融支出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17</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十七、援助其他地区支出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十八、国土海洋气象等支出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45</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19</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十九、住房保障支出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397.00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397.00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二十、粮油物资储备支出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47</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二十一、其他支出</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5,431.44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jc w:val="center"/>
              <w:rPr>
                <w:b/>
                <w:bCs/>
                <w:sz w:val="20"/>
                <w:szCs w:val="20"/>
              </w:rPr>
            </w:pPr>
            <w:r>
              <w:rPr>
                <w:rFonts w:hint="eastAsia" w:cs="宋体"/>
                <w:b/>
                <w:bCs/>
                <w:sz w:val="20"/>
                <w:szCs w:val="20"/>
              </w:rPr>
              <w:t>本年收入合计</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23,864.23</w:t>
            </w:r>
          </w:p>
        </w:tc>
        <w:tc>
          <w:tcPr>
            <w:tcW w:w="1154" w:type="pct"/>
            <w:shd w:val="clear" w:color="000000" w:fill="FFFFFF"/>
            <w:noWrap/>
            <w:tcMar>
              <w:top w:w="19" w:type="dxa"/>
              <w:left w:w="19" w:type="dxa"/>
              <w:bottom w:w="0" w:type="dxa"/>
              <w:right w:w="19" w:type="dxa"/>
            </w:tcMar>
            <w:vAlign w:val="center"/>
          </w:tcPr>
          <w:p>
            <w:pPr>
              <w:jc w:val="center"/>
              <w:rPr>
                <w:b/>
                <w:bCs/>
                <w:sz w:val="20"/>
                <w:szCs w:val="20"/>
              </w:rPr>
            </w:pPr>
            <w:r>
              <w:rPr>
                <w:rFonts w:hint="eastAsia" w:cs="宋体"/>
                <w:b/>
                <w:bCs/>
                <w:sz w:val="20"/>
                <w:szCs w:val="20"/>
              </w:rPr>
              <w:t>本年支出合计</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49</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22,854.16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17,422.71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年初财政拨款结转和结余</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5,800.60</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年末财政拨款结转和结余</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50</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6,810.68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2,095.56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4,715.11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sz w:val="20"/>
                <w:szCs w:val="20"/>
              </w:rPr>
              <w:t xml:space="preserve">  </w:t>
            </w:r>
            <w:r>
              <w:rPr>
                <w:rFonts w:hint="eastAsia" w:cs="宋体"/>
                <w:sz w:val="20"/>
                <w:szCs w:val="20"/>
              </w:rPr>
              <w:t>一般公共预算财政拨款</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3,546.04</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51</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sz w:val="20"/>
                <w:szCs w:val="20"/>
              </w:rPr>
              <w:t xml:space="preserve">  </w:t>
            </w:r>
            <w:r>
              <w:rPr>
                <w:rFonts w:hint="eastAsia" w:cs="宋体"/>
                <w:sz w:val="20"/>
                <w:szCs w:val="20"/>
              </w:rPr>
              <w:t>政府性基金预算财政拨款</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25</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2,254.56</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52</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26</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1154" w:type="pct"/>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　</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rFonts w:hint="eastAsia" w:cs="宋体"/>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54" w:type="pct"/>
            <w:shd w:val="clear" w:color="000000" w:fill="FFFFFF"/>
            <w:noWrap/>
            <w:tcMar>
              <w:top w:w="19" w:type="dxa"/>
              <w:left w:w="19" w:type="dxa"/>
              <w:bottom w:w="0" w:type="dxa"/>
              <w:right w:w="19" w:type="dxa"/>
            </w:tcMar>
            <w:vAlign w:val="center"/>
          </w:tcPr>
          <w:p>
            <w:pPr>
              <w:jc w:val="center"/>
              <w:rPr>
                <w:b/>
                <w:bCs/>
                <w:sz w:val="20"/>
                <w:szCs w:val="20"/>
              </w:rPr>
            </w:pPr>
            <w:r>
              <w:rPr>
                <w:rFonts w:hint="eastAsia" w:cs="宋体"/>
                <w:b/>
                <w:bCs/>
                <w:sz w:val="20"/>
                <w:szCs w:val="20"/>
              </w:rPr>
              <w:t>总计</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27</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29,664.83</w:t>
            </w:r>
          </w:p>
        </w:tc>
        <w:tc>
          <w:tcPr>
            <w:tcW w:w="1154" w:type="pct"/>
            <w:shd w:val="clear" w:color="000000" w:fill="FFFFFF"/>
            <w:noWrap/>
            <w:tcMar>
              <w:top w:w="19" w:type="dxa"/>
              <w:left w:w="19" w:type="dxa"/>
              <w:bottom w:w="0" w:type="dxa"/>
              <w:right w:w="19" w:type="dxa"/>
            </w:tcMar>
            <w:vAlign w:val="center"/>
          </w:tcPr>
          <w:p>
            <w:pPr>
              <w:jc w:val="center"/>
              <w:rPr>
                <w:b/>
                <w:bCs/>
                <w:sz w:val="20"/>
                <w:szCs w:val="20"/>
              </w:rPr>
            </w:pPr>
            <w:r>
              <w:rPr>
                <w:rFonts w:hint="eastAsia" w:cs="宋体"/>
                <w:b/>
                <w:bCs/>
                <w:sz w:val="20"/>
                <w:szCs w:val="20"/>
              </w:rPr>
              <w:t>总计</w:t>
            </w:r>
          </w:p>
        </w:tc>
        <w:tc>
          <w:tcPr>
            <w:tcW w:w="198"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54</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29,664.83</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19,518.28</w:t>
            </w:r>
          </w:p>
        </w:tc>
        <w:tc>
          <w:tcPr>
            <w:tcW w:w="574" w:type="pct"/>
            <w:shd w:val="clear" w:color="000000" w:fill="FFFFFF"/>
            <w:noWrap/>
            <w:tcMar>
              <w:top w:w="19" w:type="dxa"/>
              <w:left w:w="19" w:type="dxa"/>
              <w:bottom w:w="0" w:type="dxa"/>
              <w:right w:w="19" w:type="dxa"/>
            </w:tcMar>
            <w:vAlign w:val="center"/>
          </w:tcPr>
          <w:p>
            <w:pPr>
              <w:jc w:val="right"/>
              <w:rPr>
                <w:sz w:val="20"/>
                <w:szCs w:val="20"/>
              </w:rPr>
            </w:pPr>
            <w:r>
              <w:rPr>
                <w:sz w:val="20"/>
                <w:szCs w:val="20"/>
              </w:rPr>
              <w:t>10,146.55</w:t>
            </w:r>
          </w:p>
        </w:tc>
      </w:tr>
    </w:tbl>
    <w:p>
      <w:pPr>
        <w:topLinePunct/>
        <w:spacing w:line="580" w:lineRule="exact"/>
        <w:rPr>
          <w:rFonts w:eastAsia="黑体"/>
        </w:rPr>
        <w:sectPr>
          <w:pgSz w:w="16838" w:h="11906" w:orient="landscape"/>
          <w:pgMar w:top="2155" w:right="1474" w:bottom="1361" w:left="1588" w:header="0" w:footer="1418" w:gutter="0"/>
          <w:pgNumType w:start="7"/>
          <w:cols w:space="425" w:num="1"/>
          <w:docGrid w:linePitch="312" w:charSpace="0"/>
        </w:sectPr>
      </w:pPr>
      <w:r>
        <w:rPr>
          <w:rFonts w:hint="eastAsia" w:cs="宋体"/>
        </w:rPr>
        <w:t>注：本表反映部门本年度一般公共预算财政拨款和政府性基金预算财政拨款的总收支和年末结转结余情况。</w:t>
      </w:r>
    </w:p>
    <w:p>
      <w:pPr>
        <w:topLinePunct/>
        <w:spacing w:line="580" w:lineRule="exact"/>
        <w:jc w:val="center"/>
        <w:rPr>
          <w:rFonts w:eastAsia="黑体"/>
          <w:color w:val="000000"/>
          <w:kern w:val="0"/>
          <w:sz w:val="30"/>
          <w:szCs w:val="30"/>
        </w:rPr>
      </w:pPr>
      <w:r>
        <w:rPr>
          <w:rFonts w:hint="eastAsia" w:eastAsia="黑体" w:cs="黑体"/>
          <w:color w:val="000000"/>
          <w:kern w:val="0"/>
          <w:sz w:val="30"/>
          <w:szCs w:val="30"/>
        </w:rPr>
        <w:t>一般公共预算财政拨款支出决算表</w:t>
      </w:r>
    </w:p>
    <w:p>
      <w:pPr>
        <w:topLinePunct/>
        <w:spacing w:line="400" w:lineRule="exact"/>
        <w:jc w:val="right"/>
        <w:rPr>
          <w:rFonts w:ascii="宋体"/>
          <w:color w:val="000000"/>
          <w:kern w:val="0"/>
        </w:rPr>
      </w:pPr>
      <w:r>
        <w:rPr>
          <w:rFonts w:hint="eastAsia" w:ascii="宋体" w:hAnsi="宋体" w:cs="宋体"/>
          <w:color w:val="000000"/>
          <w:kern w:val="0"/>
        </w:rPr>
        <w:t>公开</w:t>
      </w:r>
      <w:r>
        <w:rPr>
          <w:rFonts w:ascii="宋体" w:hAnsi="宋体" w:cs="宋体"/>
          <w:color w:val="000000"/>
          <w:kern w:val="0"/>
        </w:rPr>
        <w:t>05</w:t>
      </w:r>
      <w:r>
        <w:rPr>
          <w:rFonts w:hint="eastAsia" w:ascii="宋体" w:hAnsi="宋体" w:cs="宋体"/>
          <w:color w:val="000000"/>
          <w:kern w:val="0"/>
        </w:rPr>
        <w:t>表</w:t>
      </w:r>
    </w:p>
    <w:p>
      <w:pPr>
        <w:topLinePunct/>
        <w:spacing w:line="400" w:lineRule="exact"/>
        <w:rPr>
          <w:rFonts w:ascii="宋体"/>
        </w:rPr>
      </w:pPr>
      <w:r>
        <w:rPr>
          <w:rFonts w:hint="eastAsia" w:ascii="宋体" w:hAnsi="宋体" w:cs="宋体"/>
          <w:color w:val="000000"/>
          <w:kern w:val="0"/>
        </w:rPr>
        <w:t>部门：湖南省民政厅</w:t>
      </w:r>
      <w:r>
        <w:rPr>
          <w:rFonts w:ascii="宋体" w:hAnsi="宋体" w:cs="宋体"/>
          <w:color w:val="000000"/>
          <w:kern w:val="0"/>
        </w:rPr>
        <w:t xml:space="preserve">                    2018</w:t>
      </w:r>
      <w:r>
        <w:rPr>
          <w:rFonts w:hint="eastAsia" w:ascii="宋体" w:hAnsi="宋体" w:cs="宋体"/>
          <w:color w:val="000000"/>
          <w:kern w:val="0"/>
        </w:rPr>
        <w:t>年度</w:t>
      </w:r>
      <w:r>
        <w:rPr>
          <w:rFonts w:ascii="宋体" w:hAnsi="宋体" w:cs="宋体"/>
          <w:color w:val="000000"/>
          <w:kern w:val="0"/>
        </w:rPr>
        <w:t xml:space="preserve">                        </w:t>
      </w:r>
      <w:r>
        <w:rPr>
          <w:rFonts w:hint="eastAsia" w:ascii="宋体" w:hAnsi="宋体" w:cs="宋体"/>
          <w:color w:val="000000"/>
          <w:kern w:val="0"/>
        </w:rPr>
        <w:t>金额单位：万元</w:t>
      </w:r>
    </w:p>
    <w:tbl>
      <w:tblPr>
        <w:tblStyle w:val="4"/>
        <w:tblW w:w="89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412"/>
        <w:gridCol w:w="1124"/>
        <w:gridCol w:w="1023"/>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251" w:type="dxa"/>
            <w:gridSpan w:val="2"/>
            <w:shd w:val="clear" w:color="000000" w:fill="FFFFFF"/>
            <w:noWrap/>
            <w:vAlign w:val="center"/>
          </w:tcPr>
          <w:p>
            <w:pPr>
              <w:widowControl/>
              <w:jc w:val="center"/>
              <w:rPr>
                <w:kern w:val="0"/>
                <w:sz w:val="20"/>
                <w:szCs w:val="20"/>
              </w:rPr>
            </w:pPr>
            <w:r>
              <w:rPr>
                <w:rFonts w:hint="eastAsia" w:cs="宋体"/>
                <w:kern w:val="0"/>
                <w:sz w:val="20"/>
                <w:szCs w:val="20"/>
              </w:rPr>
              <w:t>项目</w:t>
            </w:r>
          </w:p>
        </w:tc>
        <w:tc>
          <w:tcPr>
            <w:tcW w:w="3716" w:type="dxa"/>
            <w:gridSpan w:val="3"/>
            <w:shd w:val="clear" w:color="000000" w:fill="FFFFFF"/>
            <w:vAlign w:val="center"/>
          </w:tcPr>
          <w:p>
            <w:pPr>
              <w:widowControl/>
              <w:jc w:val="center"/>
              <w:rPr>
                <w:kern w:val="0"/>
                <w:sz w:val="20"/>
                <w:szCs w:val="20"/>
              </w:rPr>
            </w:pPr>
            <w:r>
              <w:rPr>
                <w:rFonts w:hint="eastAsia" w:cs="宋体"/>
                <w:kern w:val="0"/>
                <w:sz w:val="20"/>
                <w:szCs w:val="20"/>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839" w:type="dxa"/>
            <w:vMerge w:val="restart"/>
            <w:shd w:val="clear" w:color="000000" w:fill="FFFFFF"/>
            <w:vAlign w:val="center"/>
          </w:tcPr>
          <w:p>
            <w:pPr>
              <w:widowControl/>
              <w:jc w:val="center"/>
              <w:rPr>
                <w:kern w:val="0"/>
                <w:sz w:val="20"/>
                <w:szCs w:val="20"/>
              </w:rPr>
            </w:pPr>
            <w:r>
              <w:rPr>
                <w:rFonts w:hint="eastAsia" w:cs="宋体"/>
                <w:kern w:val="0"/>
                <w:sz w:val="20"/>
                <w:szCs w:val="20"/>
              </w:rPr>
              <w:t>功能分类科目编码</w:t>
            </w:r>
          </w:p>
        </w:tc>
        <w:tc>
          <w:tcPr>
            <w:tcW w:w="3412" w:type="dxa"/>
            <w:vMerge w:val="restart"/>
            <w:shd w:val="clear" w:color="000000" w:fill="FFFFFF"/>
            <w:noWrap/>
            <w:vAlign w:val="center"/>
          </w:tcPr>
          <w:p>
            <w:pPr>
              <w:widowControl/>
              <w:jc w:val="center"/>
              <w:rPr>
                <w:kern w:val="0"/>
                <w:sz w:val="20"/>
                <w:szCs w:val="20"/>
              </w:rPr>
            </w:pPr>
            <w:r>
              <w:rPr>
                <w:rFonts w:hint="eastAsia" w:cs="宋体"/>
                <w:kern w:val="0"/>
                <w:sz w:val="20"/>
                <w:szCs w:val="20"/>
              </w:rPr>
              <w:t>科目名称</w:t>
            </w:r>
          </w:p>
        </w:tc>
        <w:tc>
          <w:tcPr>
            <w:tcW w:w="1124" w:type="dxa"/>
            <w:vMerge w:val="restart"/>
            <w:shd w:val="clear" w:color="000000" w:fill="FFFFFF"/>
            <w:vAlign w:val="center"/>
          </w:tcPr>
          <w:p>
            <w:pPr>
              <w:widowControl/>
              <w:jc w:val="center"/>
              <w:rPr>
                <w:kern w:val="0"/>
                <w:sz w:val="20"/>
                <w:szCs w:val="20"/>
              </w:rPr>
            </w:pPr>
            <w:r>
              <w:rPr>
                <w:rFonts w:hint="eastAsia" w:cs="宋体"/>
                <w:kern w:val="0"/>
                <w:sz w:val="20"/>
                <w:szCs w:val="20"/>
              </w:rPr>
              <w:t>小计</w:t>
            </w:r>
          </w:p>
        </w:tc>
        <w:tc>
          <w:tcPr>
            <w:tcW w:w="1023" w:type="dxa"/>
            <w:vMerge w:val="restart"/>
            <w:shd w:val="clear" w:color="000000" w:fill="FFFFFF"/>
            <w:vAlign w:val="center"/>
          </w:tcPr>
          <w:p>
            <w:pPr>
              <w:widowControl/>
              <w:jc w:val="center"/>
              <w:rPr>
                <w:kern w:val="0"/>
                <w:sz w:val="20"/>
                <w:szCs w:val="20"/>
              </w:rPr>
            </w:pPr>
            <w:r>
              <w:rPr>
                <w:rFonts w:hint="eastAsia" w:cs="宋体"/>
                <w:kern w:val="0"/>
                <w:sz w:val="20"/>
                <w:szCs w:val="20"/>
              </w:rPr>
              <w:t>基本支出</w:t>
            </w:r>
          </w:p>
        </w:tc>
        <w:tc>
          <w:tcPr>
            <w:tcW w:w="1569" w:type="dxa"/>
            <w:vMerge w:val="restart"/>
            <w:shd w:val="clear" w:color="000000" w:fill="FFFFFF"/>
            <w:vAlign w:val="center"/>
          </w:tcPr>
          <w:p>
            <w:pPr>
              <w:widowControl/>
              <w:jc w:val="center"/>
              <w:rPr>
                <w:kern w:val="0"/>
                <w:sz w:val="20"/>
                <w:szCs w:val="20"/>
              </w:rPr>
            </w:pPr>
            <w:r>
              <w:rPr>
                <w:rFonts w:hint="eastAsia" w:cs="宋体"/>
                <w:kern w:val="0"/>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blHeader/>
        </w:trPr>
        <w:tc>
          <w:tcPr>
            <w:tcW w:w="1839" w:type="dxa"/>
            <w:vMerge w:val="continue"/>
            <w:vAlign w:val="center"/>
          </w:tcPr>
          <w:p>
            <w:pPr>
              <w:widowControl/>
              <w:jc w:val="left"/>
              <w:rPr>
                <w:kern w:val="0"/>
                <w:sz w:val="20"/>
                <w:szCs w:val="20"/>
              </w:rPr>
            </w:pPr>
          </w:p>
        </w:tc>
        <w:tc>
          <w:tcPr>
            <w:tcW w:w="3412" w:type="dxa"/>
            <w:vMerge w:val="continue"/>
            <w:vAlign w:val="center"/>
          </w:tcPr>
          <w:p>
            <w:pPr>
              <w:widowControl/>
              <w:jc w:val="left"/>
              <w:rPr>
                <w:kern w:val="0"/>
                <w:sz w:val="20"/>
                <w:szCs w:val="20"/>
              </w:rPr>
            </w:pPr>
          </w:p>
        </w:tc>
        <w:tc>
          <w:tcPr>
            <w:tcW w:w="1124" w:type="dxa"/>
            <w:vMerge w:val="continue"/>
            <w:vAlign w:val="center"/>
          </w:tcPr>
          <w:p>
            <w:pPr>
              <w:widowControl/>
              <w:jc w:val="left"/>
              <w:rPr>
                <w:kern w:val="0"/>
                <w:sz w:val="20"/>
                <w:szCs w:val="20"/>
              </w:rPr>
            </w:pPr>
          </w:p>
        </w:tc>
        <w:tc>
          <w:tcPr>
            <w:tcW w:w="1023" w:type="dxa"/>
            <w:vMerge w:val="continue"/>
            <w:vAlign w:val="center"/>
          </w:tcPr>
          <w:p>
            <w:pPr>
              <w:widowControl/>
              <w:jc w:val="left"/>
              <w:rPr>
                <w:kern w:val="0"/>
                <w:sz w:val="20"/>
                <w:szCs w:val="20"/>
              </w:rPr>
            </w:pPr>
          </w:p>
        </w:tc>
        <w:tc>
          <w:tcPr>
            <w:tcW w:w="1569" w:type="dxa"/>
            <w:vMerge w:val="continue"/>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1" w:type="dxa"/>
            <w:gridSpan w:val="2"/>
            <w:shd w:val="clear" w:color="000000" w:fill="FFFFFF"/>
            <w:noWrap/>
            <w:vAlign w:val="center"/>
          </w:tcPr>
          <w:p>
            <w:pPr>
              <w:widowControl/>
              <w:jc w:val="center"/>
              <w:rPr>
                <w:kern w:val="0"/>
                <w:sz w:val="20"/>
                <w:szCs w:val="20"/>
              </w:rPr>
            </w:pPr>
            <w:r>
              <w:rPr>
                <w:rFonts w:hint="eastAsia" w:cs="宋体"/>
                <w:kern w:val="0"/>
                <w:sz w:val="20"/>
                <w:szCs w:val="20"/>
              </w:rPr>
              <w:t>栏次</w:t>
            </w:r>
          </w:p>
        </w:tc>
        <w:tc>
          <w:tcPr>
            <w:tcW w:w="1124" w:type="dxa"/>
            <w:shd w:val="clear" w:color="000000" w:fill="FFFFFF"/>
            <w:noWrap/>
            <w:vAlign w:val="center"/>
          </w:tcPr>
          <w:p>
            <w:pPr>
              <w:widowControl/>
              <w:jc w:val="center"/>
              <w:rPr>
                <w:kern w:val="0"/>
                <w:sz w:val="20"/>
                <w:szCs w:val="20"/>
              </w:rPr>
            </w:pPr>
            <w:r>
              <w:rPr>
                <w:kern w:val="0"/>
                <w:sz w:val="20"/>
                <w:szCs w:val="20"/>
              </w:rPr>
              <w:t>1</w:t>
            </w:r>
          </w:p>
        </w:tc>
        <w:tc>
          <w:tcPr>
            <w:tcW w:w="1023" w:type="dxa"/>
            <w:shd w:val="clear" w:color="000000" w:fill="FFFFFF"/>
            <w:noWrap/>
            <w:vAlign w:val="center"/>
          </w:tcPr>
          <w:p>
            <w:pPr>
              <w:widowControl/>
              <w:jc w:val="center"/>
              <w:rPr>
                <w:kern w:val="0"/>
                <w:sz w:val="20"/>
                <w:szCs w:val="20"/>
              </w:rPr>
            </w:pPr>
            <w:r>
              <w:rPr>
                <w:kern w:val="0"/>
                <w:sz w:val="20"/>
                <w:szCs w:val="20"/>
              </w:rPr>
              <w:t>2</w:t>
            </w:r>
          </w:p>
        </w:tc>
        <w:tc>
          <w:tcPr>
            <w:tcW w:w="1569" w:type="dxa"/>
            <w:shd w:val="clear" w:color="000000" w:fill="FFFFFF"/>
            <w:noWrap/>
            <w:vAlign w:val="center"/>
          </w:tcPr>
          <w:p>
            <w:pPr>
              <w:widowControl/>
              <w:jc w:val="center"/>
              <w:rPr>
                <w:kern w:val="0"/>
                <w:sz w:val="20"/>
                <w:szCs w:val="20"/>
              </w:rPr>
            </w:pPr>
            <w:r>
              <w:rPr>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1" w:type="dxa"/>
            <w:gridSpan w:val="2"/>
            <w:shd w:val="clear" w:color="000000" w:fill="FFFFFF"/>
            <w:noWrap/>
            <w:vAlign w:val="center"/>
          </w:tcPr>
          <w:p>
            <w:pPr>
              <w:widowControl/>
              <w:jc w:val="left"/>
              <w:rPr>
                <w:kern w:val="0"/>
                <w:sz w:val="20"/>
                <w:szCs w:val="20"/>
              </w:rPr>
            </w:pPr>
            <w:r>
              <w:rPr>
                <w:rFonts w:hint="eastAsia" w:cs="宋体"/>
                <w:kern w:val="0"/>
                <w:sz w:val="20"/>
                <w:szCs w:val="20"/>
              </w:rPr>
              <w:t>合计</w:t>
            </w:r>
          </w:p>
        </w:tc>
        <w:tc>
          <w:tcPr>
            <w:tcW w:w="1124" w:type="dxa"/>
            <w:shd w:val="clear" w:color="000000" w:fill="FFFFFF"/>
            <w:noWrap/>
            <w:vAlign w:val="center"/>
          </w:tcPr>
          <w:p>
            <w:pPr>
              <w:widowControl/>
              <w:jc w:val="right"/>
              <w:rPr>
                <w:b/>
                <w:bCs/>
                <w:kern w:val="0"/>
                <w:sz w:val="20"/>
                <w:szCs w:val="20"/>
              </w:rPr>
            </w:pPr>
            <w:r>
              <w:rPr>
                <w:b/>
                <w:bCs/>
                <w:kern w:val="0"/>
                <w:sz w:val="20"/>
                <w:szCs w:val="20"/>
              </w:rPr>
              <w:t>17,422.71</w:t>
            </w:r>
          </w:p>
        </w:tc>
        <w:tc>
          <w:tcPr>
            <w:tcW w:w="1023" w:type="dxa"/>
            <w:shd w:val="clear" w:color="000000" w:fill="FFFFFF"/>
            <w:noWrap/>
            <w:vAlign w:val="center"/>
          </w:tcPr>
          <w:p>
            <w:pPr>
              <w:widowControl/>
              <w:jc w:val="right"/>
              <w:rPr>
                <w:b/>
                <w:bCs/>
                <w:kern w:val="0"/>
                <w:sz w:val="20"/>
                <w:szCs w:val="20"/>
              </w:rPr>
            </w:pPr>
            <w:r>
              <w:rPr>
                <w:b/>
                <w:bCs/>
                <w:kern w:val="0"/>
                <w:sz w:val="20"/>
                <w:szCs w:val="20"/>
              </w:rPr>
              <w:t>9,651.10</w:t>
            </w:r>
          </w:p>
        </w:tc>
        <w:tc>
          <w:tcPr>
            <w:tcW w:w="1569" w:type="dxa"/>
            <w:shd w:val="clear" w:color="000000" w:fill="FFFFFF"/>
            <w:noWrap/>
            <w:vAlign w:val="center"/>
          </w:tcPr>
          <w:p>
            <w:pPr>
              <w:widowControl/>
              <w:jc w:val="right"/>
              <w:rPr>
                <w:b/>
                <w:bCs/>
                <w:kern w:val="0"/>
                <w:sz w:val="20"/>
                <w:szCs w:val="20"/>
              </w:rPr>
            </w:pPr>
            <w:r>
              <w:rPr>
                <w:b/>
                <w:bCs/>
                <w:kern w:val="0"/>
                <w:sz w:val="20"/>
                <w:szCs w:val="20"/>
              </w:rPr>
              <w:t>7,771.61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201</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一般公共服务支出</w:t>
            </w:r>
          </w:p>
        </w:tc>
        <w:tc>
          <w:tcPr>
            <w:tcW w:w="1124" w:type="dxa"/>
            <w:shd w:val="clear" w:color="000000" w:fill="FFFFFF"/>
            <w:noWrap/>
            <w:vAlign w:val="center"/>
          </w:tcPr>
          <w:p>
            <w:pPr>
              <w:widowControl/>
              <w:jc w:val="right"/>
              <w:rPr>
                <w:b/>
                <w:bCs/>
                <w:kern w:val="0"/>
                <w:sz w:val="20"/>
                <w:szCs w:val="20"/>
              </w:rPr>
            </w:pPr>
            <w:r>
              <w:rPr>
                <w:b/>
                <w:bCs/>
                <w:kern w:val="0"/>
                <w:sz w:val="20"/>
                <w:szCs w:val="20"/>
              </w:rPr>
              <w:t>10.00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20117</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质量技术监督与检验检疫事务</w:t>
            </w:r>
          </w:p>
        </w:tc>
        <w:tc>
          <w:tcPr>
            <w:tcW w:w="1124" w:type="dxa"/>
            <w:shd w:val="clear" w:color="000000" w:fill="FFFFFF"/>
            <w:noWrap/>
            <w:vAlign w:val="center"/>
          </w:tcPr>
          <w:p>
            <w:pPr>
              <w:widowControl/>
              <w:jc w:val="right"/>
              <w:rPr>
                <w:b/>
                <w:bCs/>
                <w:kern w:val="0"/>
                <w:sz w:val="20"/>
                <w:szCs w:val="20"/>
              </w:rPr>
            </w:pPr>
            <w:r>
              <w:rPr>
                <w:b/>
                <w:bCs/>
                <w:kern w:val="0"/>
                <w:sz w:val="20"/>
                <w:szCs w:val="20"/>
              </w:rPr>
              <w:t>10.00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2011709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标准化管理</w:t>
            </w:r>
          </w:p>
        </w:tc>
        <w:tc>
          <w:tcPr>
            <w:tcW w:w="1124" w:type="dxa"/>
            <w:shd w:val="clear" w:color="000000" w:fill="FFFFFF"/>
            <w:noWrap/>
            <w:vAlign w:val="center"/>
          </w:tcPr>
          <w:p>
            <w:pPr>
              <w:widowControl/>
              <w:jc w:val="right"/>
              <w:rPr>
                <w:kern w:val="0"/>
                <w:sz w:val="20"/>
                <w:szCs w:val="20"/>
              </w:rPr>
            </w:pPr>
            <w:r>
              <w:rPr>
                <w:kern w:val="0"/>
                <w:sz w:val="20"/>
                <w:szCs w:val="20"/>
              </w:rPr>
              <w:t>10.00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204</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公共安全支出</w:t>
            </w:r>
          </w:p>
        </w:tc>
        <w:tc>
          <w:tcPr>
            <w:tcW w:w="1124" w:type="dxa"/>
            <w:shd w:val="clear" w:color="000000" w:fill="FFFFFF"/>
            <w:noWrap/>
            <w:vAlign w:val="center"/>
          </w:tcPr>
          <w:p>
            <w:pPr>
              <w:widowControl/>
              <w:jc w:val="right"/>
              <w:rPr>
                <w:b/>
                <w:bCs/>
                <w:kern w:val="0"/>
                <w:sz w:val="20"/>
                <w:szCs w:val="20"/>
              </w:rPr>
            </w:pPr>
            <w:r>
              <w:rPr>
                <w:b/>
                <w:bCs/>
                <w:kern w:val="0"/>
                <w:sz w:val="20"/>
                <w:szCs w:val="20"/>
              </w:rPr>
              <w:t>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20406</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司法</w:t>
            </w:r>
          </w:p>
        </w:tc>
        <w:tc>
          <w:tcPr>
            <w:tcW w:w="1124" w:type="dxa"/>
            <w:shd w:val="clear" w:color="000000" w:fill="FFFFFF"/>
            <w:noWrap/>
            <w:vAlign w:val="center"/>
          </w:tcPr>
          <w:p>
            <w:pPr>
              <w:widowControl/>
              <w:jc w:val="right"/>
              <w:rPr>
                <w:b/>
                <w:bCs/>
                <w:kern w:val="0"/>
                <w:sz w:val="20"/>
                <w:szCs w:val="20"/>
              </w:rPr>
            </w:pPr>
            <w:r>
              <w:rPr>
                <w:b/>
                <w:bCs/>
                <w:kern w:val="0"/>
                <w:sz w:val="20"/>
                <w:szCs w:val="20"/>
              </w:rPr>
              <w:t>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2040602</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一般行政管理事务</w:t>
            </w:r>
          </w:p>
        </w:tc>
        <w:tc>
          <w:tcPr>
            <w:tcW w:w="1124" w:type="dxa"/>
            <w:shd w:val="clear" w:color="000000" w:fill="FFFFFF"/>
            <w:noWrap/>
            <w:vAlign w:val="center"/>
          </w:tcPr>
          <w:p>
            <w:pPr>
              <w:widowControl/>
              <w:jc w:val="right"/>
              <w:rPr>
                <w:kern w:val="0"/>
                <w:sz w:val="20"/>
                <w:szCs w:val="20"/>
              </w:rPr>
            </w:pPr>
            <w:r>
              <w:rPr>
                <w:kern w:val="0"/>
                <w:sz w:val="20"/>
                <w:szCs w:val="20"/>
              </w:rPr>
              <w:t>0.00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206</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科学技术支出</w:t>
            </w:r>
          </w:p>
        </w:tc>
        <w:tc>
          <w:tcPr>
            <w:tcW w:w="1124" w:type="dxa"/>
            <w:shd w:val="clear" w:color="000000" w:fill="FFFFFF"/>
            <w:noWrap/>
            <w:vAlign w:val="center"/>
          </w:tcPr>
          <w:p>
            <w:pPr>
              <w:widowControl/>
              <w:jc w:val="right"/>
              <w:rPr>
                <w:b/>
                <w:bCs/>
                <w:kern w:val="0"/>
                <w:sz w:val="20"/>
                <w:szCs w:val="20"/>
              </w:rPr>
            </w:pPr>
            <w:r>
              <w:rPr>
                <w:b/>
                <w:bCs/>
                <w:kern w:val="0"/>
                <w:sz w:val="20"/>
                <w:szCs w:val="20"/>
              </w:rPr>
              <w:t>4.00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20606</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社会科学</w:t>
            </w:r>
          </w:p>
        </w:tc>
        <w:tc>
          <w:tcPr>
            <w:tcW w:w="1124" w:type="dxa"/>
            <w:shd w:val="clear" w:color="000000" w:fill="FFFFFF"/>
            <w:noWrap/>
            <w:vAlign w:val="center"/>
          </w:tcPr>
          <w:p>
            <w:pPr>
              <w:widowControl/>
              <w:jc w:val="right"/>
              <w:rPr>
                <w:b/>
                <w:bCs/>
                <w:kern w:val="0"/>
                <w:sz w:val="20"/>
                <w:szCs w:val="20"/>
              </w:rPr>
            </w:pPr>
            <w:r>
              <w:rPr>
                <w:b/>
                <w:bCs/>
                <w:kern w:val="0"/>
                <w:sz w:val="20"/>
                <w:szCs w:val="20"/>
              </w:rPr>
              <w:t>4.00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2060699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其他社会科学支出</w:t>
            </w:r>
          </w:p>
        </w:tc>
        <w:tc>
          <w:tcPr>
            <w:tcW w:w="1124" w:type="dxa"/>
            <w:shd w:val="clear" w:color="000000" w:fill="FFFFFF"/>
            <w:noWrap/>
            <w:vAlign w:val="center"/>
          </w:tcPr>
          <w:p>
            <w:pPr>
              <w:widowControl/>
              <w:jc w:val="right"/>
              <w:rPr>
                <w:kern w:val="0"/>
                <w:sz w:val="20"/>
                <w:szCs w:val="20"/>
              </w:rPr>
            </w:pPr>
            <w:r>
              <w:rPr>
                <w:kern w:val="0"/>
                <w:sz w:val="20"/>
                <w:szCs w:val="20"/>
              </w:rPr>
              <w:t>4.00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社会保障和就业支出</w:t>
            </w:r>
          </w:p>
        </w:tc>
        <w:tc>
          <w:tcPr>
            <w:tcW w:w="1124" w:type="dxa"/>
            <w:shd w:val="clear" w:color="000000" w:fill="FFFFFF"/>
            <w:noWrap/>
            <w:vAlign w:val="center"/>
          </w:tcPr>
          <w:p>
            <w:pPr>
              <w:widowControl/>
              <w:jc w:val="right"/>
              <w:rPr>
                <w:b/>
                <w:bCs/>
                <w:kern w:val="0"/>
                <w:sz w:val="20"/>
                <w:szCs w:val="20"/>
              </w:rPr>
            </w:pPr>
            <w:r>
              <w:rPr>
                <w:b/>
                <w:bCs/>
                <w:kern w:val="0"/>
                <w:sz w:val="20"/>
                <w:szCs w:val="20"/>
              </w:rPr>
              <w:t>16,436.71</w:t>
            </w:r>
          </w:p>
        </w:tc>
        <w:tc>
          <w:tcPr>
            <w:tcW w:w="1023" w:type="dxa"/>
            <w:shd w:val="clear" w:color="000000" w:fill="FFFFFF"/>
            <w:noWrap/>
            <w:vAlign w:val="center"/>
          </w:tcPr>
          <w:p>
            <w:pPr>
              <w:widowControl/>
              <w:jc w:val="right"/>
              <w:rPr>
                <w:b/>
                <w:bCs/>
                <w:kern w:val="0"/>
                <w:sz w:val="20"/>
                <w:szCs w:val="20"/>
              </w:rPr>
            </w:pPr>
            <w:r>
              <w:rPr>
                <w:b/>
                <w:bCs/>
                <w:kern w:val="0"/>
                <w:sz w:val="20"/>
                <w:szCs w:val="20"/>
              </w:rPr>
              <w:t>8,814.23</w:t>
            </w:r>
          </w:p>
        </w:tc>
        <w:tc>
          <w:tcPr>
            <w:tcW w:w="1569" w:type="dxa"/>
            <w:shd w:val="clear" w:color="000000" w:fill="FFFFFF"/>
            <w:noWrap/>
            <w:vAlign w:val="center"/>
          </w:tcPr>
          <w:p>
            <w:pPr>
              <w:widowControl/>
              <w:jc w:val="right"/>
              <w:rPr>
                <w:b/>
                <w:bCs/>
                <w:kern w:val="0"/>
                <w:sz w:val="20"/>
                <w:szCs w:val="20"/>
              </w:rPr>
            </w:pPr>
            <w:r>
              <w:rPr>
                <w:b/>
                <w:bCs/>
                <w:kern w:val="0"/>
                <w:sz w:val="20"/>
                <w:szCs w:val="20"/>
              </w:rPr>
              <w:t>7,622.48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20802</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民政管理事务</w:t>
            </w:r>
          </w:p>
        </w:tc>
        <w:tc>
          <w:tcPr>
            <w:tcW w:w="1124" w:type="dxa"/>
            <w:shd w:val="clear" w:color="000000" w:fill="FFFFFF"/>
            <w:noWrap/>
            <w:vAlign w:val="center"/>
          </w:tcPr>
          <w:p>
            <w:pPr>
              <w:widowControl/>
              <w:jc w:val="right"/>
              <w:rPr>
                <w:b/>
                <w:bCs/>
                <w:kern w:val="0"/>
                <w:sz w:val="20"/>
                <w:szCs w:val="20"/>
              </w:rPr>
            </w:pPr>
            <w:r>
              <w:rPr>
                <w:b/>
                <w:bCs/>
                <w:kern w:val="0"/>
                <w:sz w:val="20"/>
                <w:szCs w:val="20"/>
              </w:rPr>
              <w:t>9,194.40</w:t>
            </w:r>
          </w:p>
        </w:tc>
        <w:tc>
          <w:tcPr>
            <w:tcW w:w="1023" w:type="dxa"/>
            <w:shd w:val="clear" w:color="000000" w:fill="FFFFFF"/>
            <w:noWrap/>
            <w:vAlign w:val="center"/>
          </w:tcPr>
          <w:p>
            <w:pPr>
              <w:widowControl/>
              <w:jc w:val="right"/>
              <w:rPr>
                <w:b/>
                <w:bCs/>
                <w:kern w:val="0"/>
                <w:sz w:val="20"/>
                <w:szCs w:val="20"/>
              </w:rPr>
            </w:pPr>
            <w:r>
              <w:rPr>
                <w:b/>
                <w:bCs/>
                <w:kern w:val="0"/>
                <w:sz w:val="20"/>
                <w:szCs w:val="20"/>
              </w:rPr>
              <w:t>6,207.22</w:t>
            </w:r>
          </w:p>
        </w:tc>
        <w:tc>
          <w:tcPr>
            <w:tcW w:w="1569" w:type="dxa"/>
            <w:shd w:val="clear" w:color="000000" w:fill="FFFFFF"/>
            <w:noWrap/>
            <w:vAlign w:val="center"/>
          </w:tcPr>
          <w:p>
            <w:pPr>
              <w:widowControl/>
              <w:jc w:val="right"/>
              <w:rPr>
                <w:b/>
                <w:bCs/>
                <w:kern w:val="0"/>
                <w:sz w:val="20"/>
                <w:szCs w:val="20"/>
              </w:rPr>
            </w:pPr>
            <w:r>
              <w:rPr>
                <w:b/>
                <w:bCs/>
                <w:kern w:val="0"/>
                <w:sz w:val="20"/>
                <w:szCs w:val="20"/>
              </w:rPr>
              <w:t>2,987.18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行政运行</w:t>
            </w:r>
          </w:p>
        </w:tc>
        <w:tc>
          <w:tcPr>
            <w:tcW w:w="1124" w:type="dxa"/>
            <w:shd w:val="clear" w:color="000000" w:fill="FFFFFF"/>
            <w:noWrap/>
            <w:vAlign w:val="center"/>
          </w:tcPr>
          <w:p>
            <w:pPr>
              <w:widowControl/>
              <w:jc w:val="right"/>
              <w:rPr>
                <w:kern w:val="0"/>
                <w:sz w:val="20"/>
                <w:szCs w:val="20"/>
              </w:rPr>
            </w:pPr>
            <w:r>
              <w:rPr>
                <w:kern w:val="0"/>
                <w:sz w:val="20"/>
                <w:szCs w:val="20"/>
              </w:rPr>
              <w:t>6,653.82</w:t>
            </w:r>
          </w:p>
        </w:tc>
        <w:tc>
          <w:tcPr>
            <w:tcW w:w="1023" w:type="dxa"/>
            <w:shd w:val="clear" w:color="000000" w:fill="FFFFFF"/>
            <w:noWrap/>
            <w:vAlign w:val="center"/>
          </w:tcPr>
          <w:p>
            <w:pPr>
              <w:widowControl/>
              <w:jc w:val="right"/>
              <w:rPr>
                <w:kern w:val="0"/>
                <w:sz w:val="20"/>
                <w:szCs w:val="20"/>
              </w:rPr>
            </w:pPr>
            <w:r>
              <w:rPr>
                <w:kern w:val="0"/>
                <w:sz w:val="20"/>
                <w:szCs w:val="20"/>
              </w:rPr>
              <w:t>6,207.22</w:t>
            </w:r>
          </w:p>
        </w:tc>
        <w:tc>
          <w:tcPr>
            <w:tcW w:w="1569" w:type="dxa"/>
            <w:shd w:val="clear" w:color="000000" w:fill="FFFFFF"/>
            <w:noWrap/>
            <w:vAlign w:val="center"/>
          </w:tcPr>
          <w:p>
            <w:pPr>
              <w:widowControl/>
              <w:jc w:val="right"/>
              <w:rPr>
                <w:kern w:val="0"/>
                <w:sz w:val="20"/>
                <w:szCs w:val="20"/>
              </w:rPr>
            </w:pPr>
            <w:r>
              <w:rPr>
                <w:kern w:val="0"/>
                <w:sz w:val="20"/>
                <w:szCs w:val="20"/>
              </w:rPr>
              <w:t>446.60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2080202</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一般行政管理事务</w:t>
            </w:r>
          </w:p>
        </w:tc>
        <w:tc>
          <w:tcPr>
            <w:tcW w:w="1124" w:type="dxa"/>
            <w:shd w:val="clear" w:color="000000" w:fill="FFFFFF"/>
            <w:noWrap/>
            <w:vAlign w:val="center"/>
          </w:tcPr>
          <w:p>
            <w:pPr>
              <w:widowControl/>
              <w:jc w:val="right"/>
              <w:rPr>
                <w:kern w:val="0"/>
                <w:sz w:val="20"/>
                <w:szCs w:val="20"/>
              </w:rPr>
            </w:pPr>
            <w:r>
              <w:rPr>
                <w:kern w:val="0"/>
                <w:sz w:val="20"/>
                <w:szCs w:val="20"/>
              </w:rPr>
              <w:t>11.96</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2080205</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老龄事务</w:t>
            </w:r>
          </w:p>
        </w:tc>
        <w:tc>
          <w:tcPr>
            <w:tcW w:w="1124" w:type="dxa"/>
            <w:shd w:val="clear" w:color="000000" w:fill="FFFFFF"/>
            <w:noWrap/>
            <w:vAlign w:val="center"/>
          </w:tcPr>
          <w:p>
            <w:pPr>
              <w:widowControl/>
              <w:jc w:val="right"/>
              <w:rPr>
                <w:kern w:val="0"/>
                <w:sz w:val="20"/>
                <w:szCs w:val="20"/>
              </w:rPr>
            </w:pPr>
            <w:r>
              <w:rPr>
                <w:kern w:val="0"/>
                <w:sz w:val="20"/>
                <w:szCs w:val="20"/>
              </w:rPr>
              <w:t>31.17</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2080206</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民间组织管理</w:t>
            </w:r>
          </w:p>
        </w:tc>
        <w:tc>
          <w:tcPr>
            <w:tcW w:w="1124" w:type="dxa"/>
            <w:shd w:val="clear" w:color="000000" w:fill="FFFFFF"/>
            <w:noWrap/>
            <w:vAlign w:val="center"/>
          </w:tcPr>
          <w:p>
            <w:pPr>
              <w:widowControl/>
              <w:jc w:val="right"/>
              <w:rPr>
                <w:kern w:val="0"/>
                <w:sz w:val="20"/>
                <w:szCs w:val="20"/>
              </w:rPr>
            </w:pPr>
            <w:r>
              <w:rPr>
                <w:kern w:val="0"/>
                <w:sz w:val="20"/>
                <w:szCs w:val="20"/>
              </w:rPr>
              <w:t>261.05</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261.05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2080207</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行政区划和地名管理</w:t>
            </w:r>
          </w:p>
        </w:tc>
        <w:tc>
          <w:tcPr>
            <w:tcW w:w="1124" w:type="dxa"/>
            <w:shd w:val="clear" w:color="000000" w:fill="FFFFFF"/>
            <w:noWrap/>
            <w:vAlign w:val="center"/>
          </w:tcPr>
          <w:p>
            <w:pPr>
              <w:widowControl/>
              <w:jc w:val="right"/>
              <w:rPr>
                <w:kern w:val="0"/>
                <w:sz w:val="20"/>
                <w:szCs w:val="20"/>
              </w:rPr>
            </w:pPr>
            <w:r>
              <w:rPr>
                <w:kern w:val="0"/>
                <w:sz w:val="20"/>
                <w:szCs w:val="20"/>
              </w:rPr>
              <w:t>879.09</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879.09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2080208</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基层政权和社区建设</w:t>
            </w:r>
          </w:p>
        </w:tc>
        <w:tc>
          <w:tcPr>
            <w:tcW w:w="1124" w:type="dxa"/>
            <w:shd w:val="clear" w:color="000000" w:fill="FFFFFF"/>
            <w:noWrap/>
            <w:vAlign w:val="center"/>
          </w:tcPr>
          <w:p>
            <w:pPr>
              <w:widowControl/>
              <w:jc w:val="right"/>
              <w:rPr>
                <w:kern w:val="0"/>
                <w:sz w:val="20"/>
                <w:szCs w:val="20"/>
              </w:rPr>
            </w:pPr>
            <w:r>
              <w:rPr>
                <w:kern w:val="0"/>
                <w:sz w:val="20"/>
                <w:szCs w:val="20"/>
              </w:rPr>
              <w:t>16.93</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2080209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部队供应</w:t>
            </w:r>
          </w:p>
        </w:tc>
        <w:tc>
          <w:tcPr>
            <w:tcW w:w="1124" w:type="dxa"/>
            <w:shd w:val="clear" w:color="000000" w:fill="FFFFFF"/>
            <w:noWrap/>
            <w:vAlign w:val="center"/>
          </w:tcPr>
          <w:p>
            <w:pPr>
              <w:widowControl/>
              <w:jc w:val="right"/>
              <w:rPr>
                <w:kern w:val="0"/>
                <w:sz w:val="20"/>
                <w:szCs w:val="20"/>
              </w:rPr>
            </w:pPr>
            <w:r>
              <w:rPr>
                <w:kern w:val="0"/>
                <w:sz w:val="20"/>
                <w:szCs w:val="20"/>
              </w:rPr>
              <w:t>90.00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2080299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其他民政管理事务支出</w:t>
            </w:r>
          </w:p>
        </w:tc>
        <w:tc>
          <w:tcPr>
            <w:tcW w:w="1124" w:type="dxa"/>
            <w:shd w:val="clear" w:color="000000" w:fill="FFFFFF"/>
            <w:noWrap/>
            <w:vAlign w:val="center"/>
          </w:tcPr>
          <w:p>
            <w:pPr>
              <w:widowControl/>
              <w:jc w:val="right"/>
              <w:rPr>
                <w:kern w:val="0"/>
                <w:sz w:val="20"/>
                <w:szCs w:val="20"/>
              </w:rPr>
            </w:pPr>
            <w:r>
              <w:rPr>
                <w:kern w:val="0"/>
                <w:sz w:val="20"/>
                <w:szCs w:val="20"/>
              </w:rPr>
              <w:t>1,250.39</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1,250.39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20805</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行政事业单位离退休</w:t>
            </w:r>
          </w:p>
        </w:tc>
        <w:tc>
          <w:tcPr>
            <w:tcW w:w="1124" w:type="dxa"/>
            <w:shd w:val="clear" w:color="000000" w:fill="FFFFFF"/>
            <w:noWrap/>
            <w:vAlign w:val="center"/>
          </w:tcPr>
          <w:p>
            <w:pPr>
              <w:widowControl/>
              <w:jc w:val="right"/>
              <w:rPr>
                <w:b/>
                <w:bCs/>
                <w:kern w:val="0"/>
                <w:sz w:val="20"/>
                <w:szCs w:val="20"/>
              </w:rPr>
            </w:pPr>
            <w:r>
              <w:rPr>
                <w:b/>
                <w:bCs/>
                <w:kern w:val="0"/>
                <w:sz w:val="20"/>
                <w:szCs w:val="20"/>
              </w:rPr>
              <w:t>543.95</w:t>
            </w:r>
          </w:p>
        </w:tc>
        <w:tc>
          <w:tcPr>
            <w:tcW w:w="1023" w:type="dxa"/>
            <w:shd w:val="clear" w:color="000000" w:fill="FFFFFF"/>
            <w:noWrap/>
            <w:vAlign w:val="center"/>
          </w:tcPr>
          <w:p>
            <w:pPr>
              <w:widowControl/>
              <w:jc w:val="right"/>
              <w:rPr>
                <w:b/>
                <w:bCs/>
                <w:kern w:val="0"/>
                <w:sz w:val="20"/>
                <w:szCs w:val="20"/>
              </w:rPr>
            </w:pPr>
            <w:r>
              <w:rPr>
                <w:b/>
                <w:bCs/>
                <w:kern w:val="0"/>
                <w:sz w:val="20"/>
                <w:szCs w:val="20"/>
              </w:rPr>
              <w:t>543.95</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2080505</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机关事业单位基本养老保险缴费支出</w:t>
            </w:r>
          </w:p>
        </w:tc>
        <w:tc>
          <w:tcPr>
            <w:tcW w:w="1124" w:type="dxa"/>
            <w:shd w:val="clear" w:color="000000" w:fill="FFFFFF"/>
            <w:noWrap/>
            <w:vAlign w:val="center"/>
          </w:tcPr>
          <w:p>
            <w:pPr>
              <w:widowControl/>
              <w:jc w:val="right"/>
              <w:rPr>
                <w:kern w:val="0"/>
                <w:sz w:val="20"/>
                <w:szCs w:val="20"/>
              </w:rPr>
            </w:pPr>
            <w:r>
              <w:rPr>
                <w:kern w:val="0"/>
                <w:sz w:val="20"/>
                <w:szCs w:val="20"/>
              </w:rPr>
              <w:t>543.95</w:t>
            </w:r>
          </w:p>
        </w:tc>
        <w:tc>
          <w:tcPr>
            <w:tcW w:w="1023" w:type="dxa"/>
            <w:shd w:val="clear" w:color="000000" w:fill="FFFFFF"/>
            <w:noWrap/>
            <w:vAlign w:val="center"/>
          </w:tcPr>
          <w:p>
            <w:pPr>
              <w:widowControl/>
              <w:jc w:val="right"/>
              <w:rPr>
                <w:kern w:val="0"/>
                <w:sz w:val="20"/>
                <w:szCs w:val="20"/>
              </w:rPr>
            </w:pPr>
            <w:r>
              <w:rPr>
                <w:kern w:val="0"/>
                <w:sz w:val="20"/>
                <w:szCs w:val="20"/>
              </w:rPr>
              <w:t>543.95</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20808</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抚恤</w:t>
            </w:r>
          </w:p>
        </w:tc>
        <w:tc>
          <w:tcPr>
            <w:tcW w:w="1124" w:type="dxa"/>
            <w:shd w:val="clear" w:color="000000" w:fill="FFFFFF"/>
            <w:noWrap/>
            <w:vAlign w:val="center"/>
          </w:tcPr>
          <w:p>
            <w:pPr>
              <w:widowControl/>
              <w:jc w:val="right"/>
              <w:rPr>
                <w:b/>
                <w:bCs/>
                <w:kern w:val="0"/>
                <w:sz w:val="20"/>
                <w:szCs w:val="20"/>
              </w:rPr>
            </w:pPr>
            <w:r>
              <w:rPr>
                <w:b/>
                <w:bCs/>
                <w:kern w:val="0"/>
                <w:sz w:val="20"/>
                <w:szCs w:val="20"/>
              </w:rPr>
              <w:t>3,217.59</w:t>
            </w:r>
          </w:p>
        </w:tc>
        <w:tc>
          <w:tcPr>
            <w:tcW w:w="1023" w:type="dxa"/>
            <w:shd w:val="clear" w:color="000000" w:fill="FFFFFF"/>
            <w:noWrap/>
            <w:vAlign w:val="center"/>
          </w:tcPr>
          <w:p>
            <w:pPr>
              <w:widowControl/>
              <w:jc w:val="right"/>
              <w:rPr>
                <w:b/>
                <w:bCs/>
                <w:kern w:val="0"/>
                <w:sz w:val="20"/>
                <w:szCs w:val="20"/>
              </w:rPr>
            </w:pPr>
            <w:r>
              <w:rPr>
                <w:b/>
                <w:bCs/>
                <w:kern w:val="0"/>
                <w:sz w:val="20"/>
                <w:szCs w:val="20"/>
              </w:rPr>
              <w:t>1,548.95</w:t>
            </w:r>
          </w:p>
        </w:tc>
        <w:tc>
          <w:tcPr>
            <w:tcW w:w="1569" w:type="dxa"/>
            <w:shd w:val="clear" w:color="000000" w:fill="FFFFFF"/>
            <w:noWrap/>
            <w:vAlign w:val="center"/>
          </w:tcPr>
          <w:p>
            <w:pPr>
              <w:widowControl/>
              <w:jc w:val="right"/>
              <w:rPr>
                <w:b/>
                <w:bCs/>
                <w:kern w:val="0"/>
                <w:sz w:val="20"/>
                <w:szCs w:val="20"/>
              </w:rPr>
            </w:pPr>
            <w:r>
              <w:rPr>
                <w:b/>
                <w:bCs/>
                <w:kern w:val="0"/>
                <w:sz w:val="20"/>
                <w:szCs w:val="20"/>
              </w:rPr>
              <w:t>1,668.64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2080801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死亡抚恤</w:t>
            </w:r>
          </w:p>
        </w:tc>
        <w:tc>
          <w:tcPr>
            <w:tcW w:w="1124" w:type="dxa"/>
            <w:shd w:val="clear" w:color="000000" w:fill="FFFFFF"/>
            <w:noWrap/>
            <w:vAlign w:val="center"/>
          </w:tcPr>
          <w:p>
            <w:pPr>
              <w:widowControl/>
              <w:jc w:val="right"/>
              <w:rPr>
                <w:kern w:val="0"/>
                <w:sz w:val="20"/>
                <w:szCs w:val="20"/>
              </w:rPr>
            </w:pPr>
            <w:r>
              <w:rPr>
                <w:kern w:val="0"/>
                <w:sz w:val="20"/>
                <w:szCs w:val="20"/>
              </w:rPr>
              <w:t>36.90</w:t>
            </w:r>
          </w:p>
        </w:tc>
        <w:tc>
          <w:tcPr>
            <w:tcW w:w="1023" w:type="dxa"/>
            <w:shd w:val="clear" w:color="000000" w:fill="FFFFFF"/>
            <w:noWrap/>
            <w:vAlign w:val="center"/>
          </w:tcPr>
          <w:p>
            <w:pPr>
              <w:widowControl/>
              <w:jc w:val="right"/>
              <w:rPr>
                <w:kern w:val="0"/>
                <w:sz w:val="20"/>
                <w:szCs w:val="20"/>
              </w:rPr>
            </w:pPr>
            <w:r>
              <w:rPr>
                <w:kern w:val="0"/>
                <w:sz w:val="20"/>
                <w:szCs w:val="20"/>
              </w:rPr>
              <w:t>36.90</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2080804</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优抚事业单位支出</w:t>
            </w:r>
          </w:p>
        </w:tc>
        <w:tc>
          <w:tcPr>
            <w:tcW w:w="1124" w:type="dxa"/>
            <w:shd w:val="clear" w:color="000000" w:fill="FFFFFF"/>
            <w:noWrap/>
            <w:vAlign w:val="center"/>
          </w:tcPr>
          <w:p>
            <w:pPr>
              <w:widowControl/>
              <w:jc w:val="right"/>
              <w:rPr>
                <w:kern w:val="0"/>
                <w:sz w:val="20"/>
                <w:szCs w:val="20"/>
              </w:rPr>
            </w:pPr>
            <w:r>
              <w:rPr>
                <w:kern w:val="0"/>
                <w:sz w:val="20"/>
                <w:szCs w:val="20"/>
              </w:rPr>
              <w:t>2,335.31</w:t>
            </w:r>
          </w:p>
        </w:tc>
        <w:tc>
          <w:tcPr>
            <w:tcW w:w="1023" w:type="dxa"/>
            <w:shd w:val="clear" w:color="000000" w:fill="FFFFFF"/>
            <w:noWrap/>
            <w:vAlign w:val="center"/>
          </w:tcPr>
          <w:p>
            <w:pPr>
              <w:widowControl/>
              <w:jc w:val="right"/>
              <w:rPr>
                <w:kern w:val="0"/>
                <w:sz w:val="20"/>
                <w:szCs w:val="20"/>
              </w:rPr>
            </w:pPr>
            <w:r>
              <w:rPr>
                <w:kern w:val="0"/>
                <w:sz w:val="20"/>
                <w:szCs w:val="20"/>
              </w:rPr>
              <w:t>1,512.05</w:t>
            </w:r>
          </w:p>
        </w:tc>
        <w:tc>
          <w:tcPr>
            <w:tcW w:w="1569" w:type="dxa"/>
            <w:shd w:val="clear" w:color="000000" w:fill="FFFFFF"/>
            <w:noWrap/>
            <w:vAlign w:val="center"/>
          </w:tcPr>
          <w:p>
            <w:pPr>
              <w:widowControl/>
              <w:jc w:val="right"/>
              <w:rPr>
                <w:kern w:val="0"/>
                <w:sz w:val="20"/>
                <w:szCs w:val="20"/>
              </w:rPr>
            </w:pPr>
            <w:r>
              <w:rPr>
                <w:kern w:val="0"/>
                <w:sz w:val="20"/>
                <w:szCs w:val="20"/>
              </w:rPr>
              <w:t>823.26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2080899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其他优抚支出</w:t>
            </w:r>
          </w:p>
        </w:tc>
        <w:tc>
          <w:tcPr>
            <w:tcW w:w="1124" w:type="dxa"/>
            <w:shd w:val="clear" w:color="000000" w:fill="FFFFFF"/>
            <w:noWrap/>
            <w:vAlign w:val="center"/>
          </w:tcPr>
          <w:p>
            <w:pPr>
              <w:widowControl/>
              <w:jc w:val="right"/>
              <w:rPr>
                <w:kern w:val="0"/>
                <w:sz w:val="20"/>
                <w:szCs w:val="20"/>
              </w:rPr>
            </w:pPr>
            <w:r>
              <w:rPr>
                <w:kern w:val="0"/>
                <w:sz w:val="20"/>
                <w:szCs w:val="20"/>
              </w:rPr>
              <w:t>845.38</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845.38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20809</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退役安置</w:t>
            </w:r>
          </w:p>
        </w:tc>
        <w:tc>
          <w:tcPr>
            <w:tcW w:w="1124" w:type="dxa"/>
            <w:shd w:val="clear" w:color="000000" w:fill="FFFFFF"/>
            <w:noWrap/>
            <w:vAlign w:val="center"/>
          </w:tcPr>
          <w:p>
            <w:pPr>
              <w:widowControl/>
              <w:jc w:val="right"/>
              <w:rPr>
                <w:b/>
                <w:bCs/>
                <w:kern w:val="0"/>
                <w:sz w:val="20"/>
                <w:szCs w:val="20"/>
              </w:rPr>
            </w:pPr>
            <w:r>
              <w:rPr>
                <w:b/>
                <w:bCs/>
                <w:kern w:val="0"/>
                <w:sz w:val="20"/>
                <w:szCs w:val="20"/>
              </w:rPr>
              <w:t>114.26</w:t>
            </w:r>
          </w:p>
        </w:tc>
        <w:tc>
          <w:tcPr>
            <w:tcW w:w="1023" w:type="dxa"/>
            <w:shd w:val="clear" w:color="000000" w:fill="FFFFFF"/>
            <w:noWrap/>
            <w:vAlign w:val="center"/>
          </w:tcPr>
          <w:p>
            <w:pPr>
              <w:widowControl/>
              <w:jc w:val="right"/>
              <w:rPr>
                <w:b/>
                <w:bCs/>
                <w:kern w:val="0"/>
                <w:sz w:val="20"/>
                <w:szCs w:val="20"/>
              </w:rPr>
            </w:pPr>
            <w:r>
              <w:rPr>
                <w:b/>
                <w:bCs/>
                <w:kern w:val="0"/>
                <w:sz w:val="20"/>
                <w:szCs w:val="20"/>
              </w:rPr>
              <w:t>75.00</w:t>
            </w:r>
          </w:p>
        </w:tc>
        <w:tc>
          <w:tcPr>
            <w:tcW w:w="1569" w:type="dxa"/>
            <w:shd w:val="clear" w:color="000000" w:fill="FFFFFF"/>
            <w:noWrap/>
            <w:vAlign w:val="center"/>
          </w:tcPr>
          <w:p>
            <w:pPr>
              <w:widowControl/>
              <w:jc w:val="right"/>
              <w:rPr>
                <w:b/>
                <w:bCs/>
                <w:kern w:val="0"/>
                <w:sz w:val="20"/>
                <w:szCs w:val="20"/>
              </w:rPr>
            </w:pPr>
            <w:r>
              <w:rPr>
                <w:b/>
                <w:bCs/>
                <w:kern w:val="0"/>
                <w:sz w:val="20"/>
                <w:szCs w:val="20"/>
              </w:rPr>
              <w:t>39.26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2080901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退役士兵安置</w:t>
            </w:r>
          </w:p>
        </w:tc>
        <w:tc>
          <w:tcPr>
            <w:tcW w:w="1124" w:type="dxa"/>
            <w:shd w:val="clear" w:color="000000" w:fill="FFFFFF"/>
            <w:noWrap/>
            <w:vAlign w:val="center"/>
          </w:tcPr>
          <w:p>
            <w:pPr>
              <w:widowControl/>
              <w:jc w:val="right"/>
              <w:rPr>
                <w:kern w:val="0"/>
                <w:sz w:val="20"/>
                <w:szCs w:val="20"/>
              </w:rPr>
            </w:pPr>
            <w:r>
              <w:rPr>
                <w:kern w:val="0"/>
                <w:sz w:val="20"/>
                <w:szCs w:val="20"/>
              </w:rPr>
              <w:t>17.57</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2080902</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军队移交政府的离退休人员安置</w:t>
            </w:r>
          </w:p>
        </w:tc>
        <w:tc>
          <w:tcPr>
            <w:tcW w:w="1124" w:type="dxa"/>
            <w:shd w:val="clear" w:color="000000" w:fill="FFFFFF"/>
            <w:noWrap/>
            <w:vAlign w:val="center"/>
          </w:tcPr>
          <w:p>
            <w:pPr>
              <w:widowControl/>
              <w:jc w:val="right"/>
              <w:rPr>
                <w:kern w:val="0"/>
                <w:sz w:val="20"/>
                <w:szCs w:val="20"/>
              </w:rPr>
            </w:pPr>
            <w:r>
              <w:rPr>
                <w:kern w:val="0"/>
                <w:sz w:val="20"/>
                <w:szCs w:val="20"/>
              </w:rPr>
              <w:t>75.00</w:t>
            </w:r>
          </w:p>
        </w:tc>
        <w:tc>
          <w:tcPr>
            <w:tcW w:w="1023" w:type="dxa"/>
            <w:shd w:val="clear" w:color="000000" w:fill="FFFFFF"/>
            <w:noWrap/>
            <w:vAlign w:val="center"/>
          </w:tcPr>
          <w:p>
            <w:pPr>
              <w:widowControl/>
              <w:jc w:val="right"/>
              <w:rPr>
                <w:kern w:val="0"/>
                <w:sz w:val="20"/>
                <w:szCs w:val="20"/>
              </w:rPr>
            </w:pPr>
            <w:r>
              <w:rPr>
                <w:kern w:val="0"/>
                <w:sz w:val="20"/>
                <w:szCs w:val="20"/>
              </w:rPr>
              <w:t>75.00</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2080903</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军队移交政府离退休干部管理机构</w:t>
            </w:r>
          </w:p>
        </w:tc>
        <w:tc>
          <w:tcPr>
            <w:tcW w:w="1124" w:type="dxa"/>
            <w:shd w:val="clear" w:color="000000" w:fill="FFFFFF"/>
            <w:noWrap/>
            <w:vAlign w:val="center"/>
          </w:tcPr>
          <w:p>
            <w:pPr>
              <w:widowControl/>
              <w:jc w:val="right"/>
              <w:rPr>
                <w:kern w:val="0"/>
                <w:sz w:val="20"/>
                <w:szCs w:val="20"/>
              </w:rPr>
            </w:pPr>
            <w:r>
              <w:rPr>
                <w:kern w:val="0"/>
                <w:sz w:val="20"/>
                <w:szCs w:val="20"/>
              </w:rPr>
              <w:t>21.69</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20810</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社会福利</w:t>
            </w:r>
          </w:p>
        </w:tc>
        <w:tc>
          <w:tcPr>
            <w:tcW w:w="1124" w:type="dxa"/>
            <w:shd w:val="clear" w:color="000000" w:fill="FFFFFF"/>
            <w:noWrap/>
            <w:vAlign w:val="center"/>
          </w:tcPr>
          <w:p>
            <w:pPr>
              <w:widowControl/>
              <w:jc w:val="right"/>
              <w:rPr>
                <w:b/>
                <w:bCs/>
                <w:kern w:val="0"/>
                <w:sz w:val="20"/>
                <w:szCs w:val="20"/>
              </w:rPr>
            </w:pPr>
            <w:r>
              <w:rPr>
                <w:b/>
                <w:bCs/>
                <w:kern w:val="0"/>
                <w:sz w:val="20"/>
                <w:szCs w:val="20"/>
              </w:rPr>
              <w:t>1,417.61</w:t>
            </w:r>
          </w:p>
        </w:tc>
        <w:tc>
          <w:tcPr>
            <w:tcW w:w="1023" w:type="dxa"/>
            <w:shd w:val="clear" w:color="000000" w:fill="FFFFFF"/>
            <w:noWrap/>
            <w:vAlign w:val="center"/>
          </w:tcPr>
          <w:p>
            <w:pPr>
              <w:widowControl/>
              <w:jc w:val="right"/>
              <w:rPr>
                <w:b/>
                <w:bCs/>
                <w:kern w:val="0"/>
                <w:sz w:val="20"/>
                <w:szCs w:val="20"/>
              </w:rPr>
            </w:pPr>
            <w:r>
              <w:rPr>
                <w:b/>
                <w:bCs/>
                <w:kern w:val="0"/>
                <w:sz w:val="20"/>
                <w:szCs w:val="20"/>
              </w:rPr>
              <w:t>439.11</w:t>
            </w:r>
          </w:p>
        </w:tc>
        <w:tc>
          <w:tcPr>
            <w:tcW w:w="1569" w:type="dxa"/>
            <w:shd w:val="clear" w:color="000000" w:fill="FFFFFF"/>
            <w:noWrap/>
            <w:vAlign w:val="center"/>
          </w:tcPr>
          <w:p>
            <w:pPr>
              <w:widowControl/>
              <w:jc w:val="right"/>
              <w:rPr>
                <w:b/>
                <w:bCs/>
                <w:kern w:val="0"/>
                <w:sz w:val="20"/>
                <w:szCs w:val="20"/>
              </w:rPr>
            </w:pPr>
            <w:r>
              <w:rPr>
                <w:b/>
                <w:bCs/>
                <w:kern w:val="0"/>
                <w:sz w:val="20"/>
                <w:szCs w:val="20"/>
              </w:rPr>
              <w:t>978.50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2081002</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老年福利</w:t>
            </w:r>
          </w:p>
        </w:tc>
        <w:tc>
          <w:tcPr>
            <w:tcW w:w="1124" w:type="dxa"/>
            <w:shd w:val="clear" w:color="000000" w:fill="FFFFFF"/>
            <w:noWrap/>
            <w:vAlign w:val="center"/>
          </w:tcPr>
          <w:p>
            <w:pPr>
              <w:widowControl/>
              <w:jc w:val="right"/>
              <w:rPr>
                <w:kern w:val="0"/>
                <w:sz w:val="20"/>
                <w:szCs w:val="20"/>
              </w:rPr>
            </w:pPr>
            <w:r>
              <w:rPr>
                <w:kern w:val="0"/>
                <w:sz w:val="20"/>
                <w:szCs w:val="20"/>
              </w:rPr>
              <w:t>978.50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978.50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2081003</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假肢矫形</w:t>
            </w:r>
          </w:p>
        </w:tc>
        <w:tc>
          <w:tcPr>
            <w:tcW w:w="1124" w:type="dxa"/>
            <w:shd w:val="clear" w:color="000000" w:fill="FFFFFF"/>
            <w:noWrap/>
            <w:vAlign w:val="center"/>
          </w:tcPr>
          <w:p>
            <w:pPr>
              <w:widowControl/>
              <w:jc w:val="right"/>
              <w:rPr>
                <w:kern w:val="0"/>
                <w:sz w:val="20"/>
                <w:szCs w:val="20"/>
              </w:rPr>
            </w:pPr>
            <w:r>
              <w:rPr>
                <w:kern w:val="0"/>
                <w:sz w:val="20"/>
                <w:szCs w:val="20"/>
              </w:rPr>
              <w:t>439.11</w:t>
            </w:r>
          </w:p>
        </w:tc>
        <w:tc>
          <w:tcPr>
            <w:tcW w:w="1023" w:type="dxa"/>
            <w:shd w:val="clear" w:color="000000" w:fill="FFFFFF"/>
            <w:noWrap/>
            <w:vAlign w:val="center"/>
          </w:tcPr>
          <w:p>
            <w:pPr>
              <w:widowControl/>
              <w:jc w:val="right"/>
              <w:rPr>
                <w:kern w:val="0"/>
                <w:sz w:val="20"/>
                <w:szCs w:val="20"/>
              </w:rPr>
            </w:pPr>
            <w:r>
              <w:rPr>
                <w:kern w:val="0"/>
                <w:sz w:val="20"/>
                <w:szCs w:val="20"/>
              </w:rPr>
              <w:t>439.11</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20815</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自然灾害生活救助</w:t>
            </w:r>
          </w:p>
        </w:tc>
        <w:tc>
          <w:tcPr>
            <w:tcW w:w="1124" w:type="dxa"/>
            <w:shd w:val="clear" w:color="000000" w:fill="FFFFFF"/>
            <w:noWrap/>
            <w:vAlign w:val="center"/>
          </w:tcPr>
          <w:p>
            <w:pPr>
              <w:widowControl/>
              <w:jc w:val="right"/>
              <w:rPr>
                <w:b/>
                <w:bCs/>
                <w:kern w:val="0"/>
                <w:sz w:val="20"/>
                <w:szCs w:val="20"/>
              </w:rPr>
            </w:pPr>
            <w:r>
              <w:rPr>
                <w:b/>
                <w:bCs/>
                <w:kern w:val="0"/>
                <w:sz w:val="20"/>
                <w:szCs w:val="20"/>
              </w:rPr>
              <w:t>1,859.93</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2081501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中央自然灾害生活补助</w:t>
            </w:r>
          </w:p>
        </w:tc>
        <w:tc>
          <w:tcPr>
            <w:tcW w:w="1124" w:type="dxa"/>
            <w:shd w:val="clear" w:color="000000" w:fill="FFFFFF"/>
            <w:noWrap/>
            <w:vAlign w:val="center"/>
          </w:tcPr>
          <w:p>
            <w:pPr>
              <w:widowControl/>
              <w:jc w:val="right"/>
              <w:rPr>
                <w:kern w:val="0"/>
                <w:sz w:val="20"/>
                <w:szCs w:val="20"/>
              </w:rPr>
            </w:pPr>
            <w:r>
              <w:rPr>
                <w:kern w:val="0"/>
                <w:sz w:val="20"/>
                <w:szCs w:val="20"/>
              </w:rPr>
              <w:t>559.96</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559.96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2081502</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地方自然灾害生活补助</w:t>
            </w:r>
          </w:p>
        </w:tc>
        <w:tc>
          <w:tcPr>
            <w:tcW w:w="1124" w:type="dxa"/>
            <w:shd w:val="clear" w:color="000000" w:fill="FFFFFF"/>
            <w:noWrap/>
            <w:vAlign w:val="center"/>
          </w:tcPr>
          <w:p>
            <w:pPr>
              <w:widowControl/>
              <w:jc w:val="right"/>
              <w:rPr>
                <w:kern w:val="0"/>
                <w:sz w:val="20"/>
                <w:szCs w:val="20"/>
              </w:rPr>
            </w:pPr>
            <w:r>
              <w:rPr>
                <w:kern w:val="0"/>
                <w:sz w:val="20"/>
                <w:szCs w:val="20"/>
              </w:rPr>
              <w:t>1,299.97</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1,299.97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20820</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临时救助</w:t>
            </w:r>
          </w:p>
        </w:tc>
        <w:tc>
          <w:tcPr>
            <w:tcW w:w="1124" w:type="dxa"/>
            <w:shd w:val="clear" w:color="000000" w:fill="FFFFFF"/>
            <w:noWrap/>
            <w:vAlign w:val="center"/>
          </w:tcPr>
          <w:p>
            <w:pPr>
              <w:widowControl/>
              <w:jc w:val="right"/>
              <w:rPr>
                <w:b/>
                <w:bCs/>
                <w:kern w:val="0"/>
                <w:sz w:val="20"/>
                <w:szCs w:val="20"/>
              </w:rPr>
            </w:pPr>
            <w:r>
              <w:rPr>
                <w:b/>
                <w:bCs/>
                <w:kern w:val="0"/>
                <w:sz w:val="20"/>
                <w:szCs w:val="20"/>
              </w:rPr>
              <w:t>88.25</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2082001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临时救助支出</w:t>
            </w:r>
          </w:p>
        </w:tc>
        <w:tc>
          <w:tcPr>
            <w:tcW w:w="1124" w:type="dxa"/>
            <w:shd w:val="clear" w:color="000000" w:fill="FFFFFF"/>
            <w:noWrap/>
            <w:vAlign w:val="center"/>
          </w:tcPr>
          <w:p>
            <w:pPr>
              <w:widowControl/>
              <w:jc w:val="right"/>
              <w:rPr>
                <w:kern w:val="0"/>
                <w:sz w:val="20"/>
                <w:szCs w:val="20"/>
              </w:rPr>
            </w:pPr>
            <w:r>
              <w:rPr>
                <w:kern w:val="0"/>
                <w:sz w:val="20"/>
                <w:szCs w:val="20"/>
              </w:rPr>
              <w:t>57.00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2082002</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流浪乞讨人员救助支出</w:t>
            </w:r>
          </w:p>
        </w:tc>
        <w:tc>
          <w:tcPr>
            <w:tcW w:w="1124" w:type="dxa"/>
            <w:shd w:val="clear" w:color="000000" w:fill="FFFFFF"/>
            <w:noWrap/>
            <w:vAlign w:val="center"/>
          </w:tcPr>
          <w:p>
            <w:pPr>
              <w:widowControl/>
              <w:jc w:val="right"/>
              <w:rPr>
                <w:kern w:val="0"/>
                <w:sz w:val="20"/>
                <w:szCs w:val="20"/>
              </w:rPr>
            </w:pPr>
            <w:r>
              <w:rPr>
                <w:kern w:val="0"/>
                <w:sz w:val="20"/>
                <w:szCs w:val="20"/>
              </w:rPr>
              <w:t>31.25</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20899</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其他社会保障和就业支出</w:t>
            </w:r>
          </w:p>
        </w:tc>
        <w:tc>
          <w:tcPr>
            <w:tcW w:w="1124" w:type="dxa"/>
            <w:shd w:val="clear" w:color="000000" w:fill="FFFFFF"/>
            <w:noWrap/>
            <w:vAlign w:val="center"/>
          </w:tcPr>
          <w:p>
            <w:pPr>
              <w:widowControl/>
              <w:jc w:val="right"/>
              <w:rPr>
                <w:b/>
                <w:bCs/>
                <w:kern w:val="0"/>
                <w:sz w:val="20"/>
                <w:szCs w:val="20"/>
              </w:rPr>
            </w:pPr>
            <w:r>
              <w:rPr>
                <w:b/>
                <w:bCs/>
                <w:kern w:val="0"/>
                <w:sz w:val="20"/>
                <w:szCs w:val="20"/>
              </w:rPr>
              <w:t>0.72</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2089901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其他社会保障和就业支出</w:t>
            </w:r>
          </w:p>
        </w:tc>
        <w:tc>
          <w:tcPr>
            <w:tcW w:w="1124" w:type="dxa"/>
            <w:shd w:val="clear" w:color="000000" w:fill="FFFFFF"/>
            <w:noWrap/>
            <w:vAlign w:val="center"/>
          </w:tcPr>
          <w:p>
            <w:pPr>
              <w:widowControl/>
              <w:jc w:val="right"/>
              <w:rPr>
                <w:kern w:val="0"/>
                <w:sz w:val="20"/>
                <w:szCs w:val="20"/>
              </w:rPr>
            </w:pPr>
            <w:r>
              <w:rPr>
                <w:kern w:val="0"/>
                <w:sz w:val="20"/>
                <w:szCs w:val="20"/>
              </w:rPr>
              <w:t>0.72</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210</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医疗卫生与计划生育支出</w:t>
            </w:r>
          </w:p>
        </w:tc>
        <w:tc>
          <w:tcPr>
            <w:tcW w:w="1124" w:type="dxa"/>
            <w:shd w:val="clear" w:color="000000" w:fill="FFFFFF"/>
            <w:noWrap/>
            <w:vAlign w:val="center"/>
          </w:tcPr>
          <w:p>
            <w:pPr>
              <w:widowControl/>
              <w:jc w:val="right"/>
              <w:rPr>
                <w:b/>
                <w:bCs/>
                <w:kern w:val="0"/>
                <w:sz w:val="20"/>
                <w:szCs w:val="20"/>
              </w:rPr>
            </w:pPr>
            <w:r>
              <w:rPr>
                <w:b/>
                <w:bCs/>
                <w:kern w:val="0"/>
                <w:sz w:val="20"/>
                <w:szCs w:val="20"/>
              </w:rPr>
              <w:t>545.02</w:t>
            </w:r>
          </w:p>
        </w:tc>
        <w:tc>
          <w:tcPr>
            <w:tcW w:w="1023" w:type="dxa"/>
            <w:shd w:val="clear" w:color="000000" w:fill="FFFFFF"/>
            <w:noWrap/>
            <w:vAlign w:val="center"/>
          </w:tcPr>
          <w:p>
            <w:pPr>
              <w:widowControl/>
              <w:jc w:val="right"/>
              <w:rPr>
                <w:b/>
                <w:bCs/>
                <w:kern w:val="0"/>
                <w:sz w:val="20"/>
                <w:szCs w:val="20"/>
              </w:rPr>
            </w:pPr>
            <w:r>
              <w:rPr>
                <w:b/>
                <w:bCs/>
                <w:kern w:val="0"/>
                <w:sz w:val="20"/>
                <w:szCs w:val="20"/>
              </w:rPr>
              <w:t>439.87</w:t>
            </w:r>
          </w:p>
        </w:tc>
        <w:tc>
          <w:tcPr>
            <w:tcW w:w="1569" w:type="dxa"/>
            <w:shd w:val="clear" w:color="000000" w:fill="FFFFFF"/>
            <w:noWrap/>
            <w:vAlign w:val="center"/>
          </w:tcPr>
          <w:p>
            <w:pPr>
              <w:widowControl/>
              <w:jc w:val="right"/>
              <w:rPr>
                <w:b/>
                <w:bCs/>
                <w:kern w:val="0"/>
                <w:sz w:val="20"/>
                <w:szCs w:val="20"/>
              </w:rPr>
            </w:pPr>
            <w:r>
              <w:rPr>
                <w:b/>
                <w:bCs/>
                <w:kern w:val="0"/>
                <w:sz w:val="20"/>
                <w:szCs w:val="20"/>
              </w:rPr>
              <w:t>105.15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21007</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计划生育事务</w:t>
            </w:r>
          </w:p>
        </w:tc>
        <w:tc>
          <w:tcPr>
            <w:tcW w:w="1124" w:type="dxa"/>
            <w:shd w:val="clear" w:color="000000" w:fill="FFFFFF"/>
            <w:noWrap/>
            <w:vAlign w:val="center"/>
          </w:tcPr>
          <w:p>
            <w:pPr>
              <w:widowControl/>
              <w:jc w:val="right"/>
              <w:rPr>
                <w:b/>
                <w:bCs/>
                <w:kern w:val="0"/>
                <w:sz w:val="20"/>
                <w:szCs w:val="20"/>
              </w:rPr>
            </w:pPr>
            <w:r>
              <w:rPr>
                <w:b/>
                <w:bCs/>
                <w:kern w:val="0"/>
                <w:sz w:val="20"/>
                <w:szCs w:val="20"/>
              </w:rPr>
              <w:t>4.95</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2100799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其他计划生育事务支出</w:t>
            </w:r>
          </w:p>
        </w:tc>
        <w:tc>
          <w:tcPr>
            <w:tcW w:w="1124" w:type="dxa"/>
            <w:shd w:val="clear" w:color="000000" w:fill="FFFFFF"/>
            <w:noWrap/>
            <w:vAlign w:val="center"/>
          </w:tcPr>
          <w:p>
            <w:pPr>
              <w:widowControl/>
              <w:jc w:val="right"/>
              <w:rPr>
                <w:kern w:val="0"/>
                <w:sz w:val="20"/>
                <w:szCs w:val="20"/>
              </w:rPr>
            </w:pPr>
            <w:r>
              <w:rPr>
                <w:kern w:val="0"/>
                <w:sz w:val="20"/>
                <w:szCs w:val="20"/>
              </w:rPr>
              <w:t>4.95</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21011</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行政事业单位医疗</w:t>
            </w:r>
          </w:p>
        </w:tc>
        <w:tc>
          <w:tcPr>
            <w:tcW w:w="1124" w:type="dxa"/>
            <w:shd w:val="clear" w:color="000000" w:fill="FFFFFF"/>
            <w:noWrap/>
            <w:vAlign w:val="center"/>
          </w:tcPr>
          <w:p>
            <w:pPr>
              <w:widowControl/>
              <w:jc w:val="right"/>
              <w:rPr>
                <w:b/>
                <w:bCs/>
                <w:kern w:val="0"/>
                <w:sz w:val="20"/>
                <w:szCs w:val="20"/>
              </w:rPr>
            </w:pPr>
            <w:r>
              <w:rPr>
                <w:b/>
                <w:bCs/>
                <w:kern w:val="0"/>
                <w:sz w:val="20"/>
                <w:szCs w:val="20"/>
              </w:rPr>
              <w:t>439.87</w:t>
            </w:r>
          </w:p>
        </w:tc>
        <w:tc>
          <w:tcPr>
            <w:tcW w:w="1023" w:type="dxa"/>
            <w:shd w:val="clear" w:color="000000" w:fill="FFFFFF"/>
            <w:noWrap/>
            <w:vAlign w:val="center"/>
          </w:tcPr>
          <w:p>
            <w:pPr>
              <w:widowControl/>
              <w:jc w:val="right"/>
              <w:rPr>
                <w:b/>
                <w:bCs/>
                <w:kern w:val="0"/>
                <w:sz w:val="20"/>
                <w:szCs w:val="20"/>
              </w:rPr>
            </w:pPr>
            <w:r>
              <w:rPr>
                <w:b/>
                <w:bCs/>
                <w:kern w:val="0"/>
                <w:sz w:val="20"/>
                <w:szCs w:val="20"/>
              </w:rPr>
              <w:t>439.87</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2101101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行政单位医疗</w:t>
            </w:r>
          </w:p>
        </w:tc>
        <w:tc>
          <w:tcPr>
            <w:tcW w:w="1124" w:type="dxa"/>
            <w:shd w:val="clear" w:color="000000" w:fill="FFFFFF"/>
            <w:noWrap/>
            <w:vAlign w:val="center"/>
          </w:tcPr>
          <w:p>
            <w:pPr>
              <w:widowControl/>
              <w:jc w:val="right"/>
              <w:rPr>
                <w:kern w:val="0"/>
                <w:sz w:val="20"/>
                <w:szCs w:val="20"/>
              </w:rPr>
            </w:pPr>
            <w:r>
              <w:rPr>
                <w:kern w:val="0"/>
                <w:sz w:val="20"/>
                <w:szCs w:val="20"/>
              </w:rPr>
              <w:t>439.87</w:t>
            </w:r>
          </w:p>
        </w:tc>
        <w:tc>
          <w:tcPr>
            <w:tcW w:w="1023" w:type="dxa"/>
            <w:shd w:val="clear" w:color="000000" w:fill="FFFFFF"/>
            <w:noWrap/>
            <w:vAlign w:val="center"/>
          </w:tcPr>
          <w:p>
            <w:pPr>
              <w:widowControl/>
              <w:jc w:val="right"/>
              <w:rPr>
                <w:kern w:val="0"/>
                <w:sz w:val="20"/>
                <w:szCs w:val="20"/>
              </w:rPr>
            </w:pPr>
            <w:r>
              <w:rPr>
                <w:kern w:val="0"/>
                <w:sz w:val="20"/>
                <w:szCs w:val="20"/>
              </w:rPr>
              <w:t>439.87</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21014</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优抚对象医疗</w:t>
            </w:r>
          </w:p>
        </w:tc>
        <w:tc>
          <w:tcPr>
            <w:tcW w:w="1124" w:type="dxa"/>
            <w:shd w:val="clear" w:color="000000" w:fill="FFFFFF"/>
            <w:noWrap/>
            <w:vAlign w:val="center"/>
          </w:tcPr>
          <w:p>
            <w:pPr>
              <w:widowControl/>
              <w:jc w:val="right"/>
              <w:rPr>
                <w:b/>
                <w:bCs/>
                <w:kern w:val="0"/>
                <w:sz w:val="20"/>
                <w:szCs w:val="20"/>
              </w:rPr>
            </w:pPr>
            <w:r>
              <w:rPr>
                <w:b/>
                <w:bCs/>
                <w:kern w:val="0"/>
                <w:sz w:val="20"/>
                <w:szCs w:val="20"/>
              </w:rPr>
              <w:t>100.00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2101401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优抚对象医疗补助</w:t>
            </w:r>
          </w:p>
        </w:tc>
        <w:tc>
          <w:tcPr>
            <w:tcW w:w="1124" w:type="dxa"/>
            <w:shd w:val="clear" w:color="000000" w:fill="FFFFFF"/>
            <w:noWrap/>
            <w:vAlign w:val="center"/>
          </w:tcPr>
          <w:p>
            <w:pPr>
              <w:widowControl/>
              <w:jc w:val="right"/>
              <w:rPr>
                <w:kern w:val="0"/>
                <w:sz w:val="20"/>
                <w:szCs w:val="20"/>
              </w:rPr>
            </w:pPr>
            <w:r>
              <w:rPr>
                <w:kern w:val="0"/>
                <w:sz w:val="20"/>
                <w:szCs w:val="20"/>
              </w:rPr>
              <w:t>100.00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21099</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其他医疗卫生与计划生育支出</w:t>
            </w:r>
          </w:p>
        </w:tc>
        <w:tc>
          <w:tcPr>
            <w:tcW w:w="1124" w:type="dxa"/>
            <w:shd w:val="clear" w:color="000000" w:fill="FFFFFF"/>
            <w:noWrap/>
            <w:vAlign w:val="center"/>
          </w:tcPr>
          <w:p>
            <w:pPr>
              <w:widowControl/>
              <w:jc w:val="right"/>
              <w:rPr>
                <w:b/>
                <w:bCs/>
                <w:kern w:val="0"/>
                <w:sz w:val="20"/>
                <w:szCs w:val="20"/>
              </w:rPr>
            </w:pPr>
            <w:r>
              <w:rPr>
                <w:b/>
                <w:bCs/>
                <w:kern w:val="0"/>
                <w:sz w:val="20"/>
                <w:szCs w:val="20"/>
              </w:rPr>
              <w:t>0.20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2109901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其他医疗卫生与计划生育支出</w:t>
            </w:r>
          </w:p>
        </w:tc>
        <w:tc>
          <w:tcPr>
            <w:tcW w:w="1124" w:type="dxa"/>
            <w:shd w:val="clear" w:color="000000" w:fill="FFFFFF"/>
            <w:noWrap/>
            <w:vAlign w:val="center"/>
          </w:tcPr>
          <w:p>
            <w:pPr>
              <w:widowControl/>
              <w:jc w:val="right"/>
              <w:rPr>
                <w:kern w:val="0"/>
                <w:sz w:val="20"/>
                <w:szCs w:val="20"/>
              </w:rPr>
            </w:pPr>
            <w:r>
              <w:rPr>
                <w:kern w:val="0"/>
                <w:sz w:val="20"/>
                <w:szCs w:val="20"/>
              </w:rPr>
              <w:t>0.20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211</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节能环保支出</w:t>
            </w:r>
          </w:p>
        </w:tc>
        <w:tc>
          <w:tcPr>
            <w:tcW w:w="1124" w:type="dxa"/>
            <w:shd w:val="clear" w:color="000000" w:fill="FFFFFF"/>
            <w:noWrap/>
            <w:vAlign w:val="center"/>
          </w:tcPr>
          <w:p>
            <w:pPr>
              <w:widowControl/>
              <w:jc w:val="right"/>
              <w:rPr>
                <w:b/>
                <w:bCs/>
                <w:kern w:val="0"/>
                <w:sz w:val="20"/>
                <w:szCs w:val="20"/>
              </w:rPr>
            </w:pPr>
            <w:r>
              <w:rPr>
                <w:b/>
                <w:bCs/>
                <w:kern w:val="0"/>
                <w:sz w:val="20"/>
                <w:szCs w:val="20"/>
              </w:rPr>
              <w:t>29.98</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21110</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能源节约利用</w:t>
            </w:r>
          </w:p>
        </w:tc>
        <w:tc>
          <w:tcPr>
            <w:tcW w:w="1124" w:type="dxa"/>
            <w:shd w:val="clear" w:color="000000" w:fill="FFFFFF"/>
            <w:noWrap/>
            <w:vAlign w:val="center"/>
          </w:tcPr>
          <w:p>
            <w:pPr>
              <w:widowControl/>
              <w:jc w:val="right"/>
              <w:rPr>
                <w:b/>
                <w:bCs/>
                <w:kern w:val="0"/>
                <w:sz w:val="20"/>
                <w:szCs w:val="20"/>
              </w:rPr>
            </w:pPr>
            <w:r>
              <w:rPr>
                <w:b/>
                <w:bCs/>
                <w:kern w:val="0"/>
                <w:sz w:val="20"/>
                <w:szCs w:val="20"/>
              </w:rPr>
              <w:t>29.98</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2111001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能源节约利用</w:t>
            </w:r>
          </w:p>
        </w:tc>
        <w:tc>
          <w:tcPr>
            <w:tcW w:w="1124" w:type="dxa"/>
            <w:shd w:val="clear" w:color="000000" w:fill="FFFFFF"/>
            <w:noWrap/>
            <w:vAlign w:val="center"/>
          </w:tcPr>
          <w:p>
            <w:pPr>
              <w:widowControl/>
              <w:jc w:val="right"/>
              <w:rPr>
                <w:kern w:val="0"/>
                <w:sz w:val="20"/>
                <w:szCs w:val="20"/>
              </w:rPr>
            </w:pPr>
            <w:r>
              <w:rPr>
                <w:kern w:val="0"/>
                <w:sz w:val="20"/>
                <w:szCs w:val="20"/>
              </w:rPr>
              <w:t>29.98</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215</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资源勘探信息等支出</w:t>
            </w:r>
          </w:p>
        </w:tc>
        <w:tc>
          <w:tcPr>
            <w:tcW w:w="1124" w:type="dxa"/>
            <w:shd w:val="clear" w:color="000000" w:fill="FFFFFF"/>
            <w:noWrap/>
            <w:vAlign w:val="center"/>
          </w:tcPr>
          <w:p>
            <w:pPr>
              <w:widowControl/>
              <w:jc w:val="right"/>
              <w:rPr>
                <w:b/>
                <w:bCs/>
                <w:kern w:val="0"/>
                <w:sz w:val="20"/>
                <w:szCs w:val="20"/>
              </w:rPr>
            </w:pPr>
            <w:r>
              <w:rPr>
                <w:b/>
                <w:bCs/>
                <w:kern w:val="0"/>
                <w:sz w:val="20"/>
                <w:szCs w:val="20"/>
              </w:rPr>
              <w:t>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21501</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资源勘探开发</w:t>
            </w:r>
          </w:p>
        </w:tc>
        <w:tc>
          <w:tcPr>
            <w:tcW w:w="1124" w:type="dxa"/>
            <w:shd w:val="clear" w:color="000000" w:fill="FFFFFF"/>
            <w:noWrap/>
            <w:vAlign w:val="center"/>
          </w:tcPr>
          <w:p>
            <w:pPr>
              <w:widowControl/>
              <w:jc w:val="right"/>
              <w:rPr>
                <w:b/>
                <w:bCs/>
                <w:kern w:val="0"/>
                <w:sz w:val="20"/>
                <w:szCs w:val="20"/>
              </w:rPr>
            </w:pPr>
            <w:r>
              <w:rPr>
                <w:b/>
                <w:bCs/>
                <w:kern w:val="0"/>
                <w:sz w:val="20"/>
                <w:szCs w:val="20"/>
              </w:rPr>
              <w:t>0.00</w:t>
            </w:r>
          </w:p>
        </w:tc>
        <w:tc>
          <w:tcPr>
            <w:tcW w:w="1023" w:type="dxa"/>
            <w:shd w:val="clear" w:color="000000" w:fill="FFFFFF"/>
            <w:noWrap/>
            <w:vAlign w:val="center"/>
          </w:tcPr>
          <w:p>
            <w:pPr>
              <w:widowControl/>
              <w:jc w:val="right"/>
              <w:rPr>
                <w:b/>
                <w:bCs/>
                <w:kern w:val="0"/>
                <w:sz w:val="20"/>
                <w:szCs w:val="20"/>
              </w:rPr>
            </w:pPr>
            <w:r>
              <w:rPr>
                <w:b/>
                <w:bCs/>
                <w:kern w:val="0"/>
                <w:sz w:val="20"/>
                <w:szCs w:val="20"/>
              </w:rPr>
              <w:t>0.00</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2150199</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其他资源勘探业支出</w:t>
            </w:r>
          </w:p>
        </w:tc>
        <w:tc>
          <w:tcPr>
            <w:tcW w:w="1124" w:type="dxa"/>
            <w:shd w:val="clear" w:color="000000" w:fill="FFFFFF"/>
            <w:noWrap/>
            <w:vAlign w:val="center"/>
          </w:tcPr>
          <w:p>
            <w:pPr>
              <w:widowControl/>
              <w:jc w:val="right"/>
              <w:rPr>
                <w:kern w:val="0"/>
                <w:sz w:val="20"/>
                <w:szCs w:val="20"/>
              </w:rPr>
            </w:pPr>
            <w:r>
              <w:rPr>
                <w:kern w:val="0"/>
                <w:sz w:val="20"/>
                <w:szCs w:val="20"/>
              </w:rPr>
              <w:t>0.00</w:t>
            </w:r>
          </w:p>
        </w:tc>
        <w:tc>
          <w:tcPr>
            <w:tcW w:w="1023" w:type="dxa"/>
            <w:shd w:val="clear" w:color="000000" w:fill="FFFFFF"/>
            <w:noWrap/>
            <w:vAlign w:val="center"/>
          </w:tcPr>
          <w:p>
            <w:pPr>
              <w:widowControl/>
              <w:jc w:val="right"/>
              <w:rPr>
                <w:kern w:val="0"/>
                <w:sz w:val="20"/>
                <w:szCs w:val="20"/>
              </w:rPr>
            </w:pPr>
            <w:r>
              <w:rPr>
                <w:kern w:val="0"/>
                <w:sz w:val="20"/>
                <w:szCs w:val="20"/>
              </w:rPr>
              <w:t>0.00</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221</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住房保障支出</w:t>
            </w:r>
          </w:p>
        </w:tc>
        <w:tc>
          <w:tcPr>
            <w:tcW w:w="1124" w:type="dxa"/>
            <w:shd w:val="clear" w:color="000000" w:fill="FFFFFF"/>
            <w:noWrap/>
            <w:vAlign w:val="center"/>
          </w:tcPr>
          <w:p>
            <w:pPr>
              <w:widowControl/>
              <w:jc w:val="right"/>
              <w:rPr>
                <w:b/>
                <w:bCs/>
                <w:kern w:val="0"/>
                <w:sz w:val="20"/>
                <w:szCs w:val="20"/>
              </w:rPr>
            </w:pPr>
            <w:r>
              <w:rPr>
                <w:b/>
                <w:bCs/>
                <w:kern w:val="0"/>
                <w:sz w:val="20"/>
                <w:szCs w:val="20"/>
              </w:rPr>
              <w:t>397.00</w:t>
            </w:r>
          </w:p>
        </w:tc>
        <w:tc>
          <w:tcPr>
            <w:tcW w:w="1023" w:type="dxa"/>
            <w:shd w:val="clear" w:color="000000" w:fill="FFFFFF"/>
            <w:noWrap/>
            <w:vAlign w:val="center"/>
          </w:tcPr>
          <w:p>
            <w:pPr>
              <w:widowControl/>
              <w:jc w:val="right"/>
              <w:rPr>
                <w:b/>
                <w:bCs/>
                <w:kern w:val="0"/>
                <w:sz w:val="20"/>
                <w:szCs w:val="20"/>
              </w:rPr>
            </w:pPr>
            <w:r>
              <w:rPr>
                <w:b/>
                <w:bCs/>
                <w:kern w:val="0"/>
                <w:sz w:val="20"/>
                <w:szCs w:val="20"/>
              </w:rPr>
              <w:t>397.00</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b/>
                <w:bCs/>
                <w:kern w:val="0"/>
                <w:sz w:val="20"/>
                <w:szCs w:val="20"/>
              </w:rPr>
            </w:pPr>
            <w:r>
              <w:rPr>
                <w:b/>
                <w:bCs/>
                <w:kern w:val="0"/>
                <w:sz w:val="20"/>
                <w:szCs w:val="20"/>
              </w:rPr>
              <w:t>22102</w:t>
            </w:r>
          </w:p>
        </w:tc>
        <w:tc>
          <w:tcPr>
            <w:tcW w:w="3412" w:type="dxa"/>
            <w:shd w:val="clear" w:color="000000" w:fill="FFFFFF"/>
            <w:noWrap/>
            <w:vAlign w:val="center"/>
          </w:tcPr>
          <w:p>
            <w:pPr>
              <w:widowControl/>
              <w:jc w:val="left"/>
              <w:rPr>
                <w:b/>
                <w:bCs/>
                <w:kern w:val="0"/>
                <w:sz w:val="20"/>
                <w:szCs w:val="20"/>
              </w:rPr>
            </w:pPr>
            <w:r>
              <w:rPr>
                <w:rFonts w:hint="eastAsia" w:cs="宋体"/>
                <w:b/>
                <w:bCs/>
                <w:kern w:val="0"/>
                <w:sz w:val="20"/>
                <w:szCs w:val="20"/>
              </w:rPr>
              <w:t>住房改革支出</w:t>
            </w:r>
          </w:p>
        </w:tc>
        <w:tc>
          <w:tcPr>
            <w:tcW w:w="1124" w:type="dxa"/>
            <w:shd w:val="clear" w:color="000000" w:fill="FFFFFF"/>
            <w:noWrap/>
            <w:vAlign w:val="center"/>
          </w:tcPr>
          <w:p>
            <w:pPr>
              <w:widowControl/>
              <w:jc w:val="right"/>
              <w:rPr>
                <w:b/>
                <w:bCs/>
                <w:kern w:val="0"/>
                <w:sz w:val="20"/>
                <w:szCs w:val="20"/>
              </w:rPr>
            </w:pPr>
            <w:r>
              <w:rPr>
                <w:b/>
                <w:bCs/>
                <w:kern w:val="0"/>
                <w:sz w:val="20"/>
                <w:szCs w:val="20"/>
              </w:rPr>
              <w:t>397.00</w:t>
            </w:r>
          </w:p>
        </w:tc>
        <w:tc>
          <w:tcPr>
            <w:tcW w:w="1023" w:type="dxa"/>
            <w:shd w:val="clear" w:color="000000" w:fill="FFFFFF"/>
            <w:noWrap/>
            <w:vAlign w:val="center"/>
          </w:tcPr>
          <w:p>
            <w:pPr>
              <w:widowControl/>
              <w:jc w:val="right"/>
              <w:rPr>
                <w:b/>
                <w:bCs/>
                <w:kern w:val="0"/>
                <w:sz w:val="20"/>
                <w:szCs w:val="20"/>
              </w:rPr>
            </w:pPr>
            <w:r>
              <w:rPr>
                <w:b/>
                <w:bCs/>
                <w:kern w:val="0"/>
                <w:sz w:val="20"/>
                <w:szCs w:val="20"/>
              </w:rPr>
              <w:t>397.00</w:t>
            </w:r>
          </w:p>
        </w:tc>
        <w:tc>
          <w:tcPr>
            <w:tcW w:w="1569" w:type="dxa"/>
            <w:shd w:val="clear" w:color="000000" w:fill="FFFFFF"/>
            <w:noWrap/>
            <w:vAlign w:val="center"/>
          </w:tcPr>
          <w:p>
            <w:pPr>
              <w:widowControl/>
              <w:jc w:val="right"/>
              <w:rPr>
                <w:b/>
                <w:bCs/>
                <w:kern w:val="0"/>
                <w:sz w:val="20"/>
                <w:szCs w:val="20"/>
              </w:rPr>
            </w:pPr>
            <w:r>
              <w:rPr>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2210201</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住房公积金</w:t>
            </w:r>
          </w:p>
        </w:tc>
        <w:tc>
          <w:tcPr>
            <w:tcW w:w="1124" w:type="dxa"/>
            <w:shd w:val="clear" w:color="000000" w:fill="FFFFFF"/>
            <w:noWrap/>
            <w:vAlign w:val="center"/>
          </w:tcPr>
          <w:p>
            <w:pPr>
              <w:widowControl/>
              <w:jc w:val="right"/>
              <w:rPr>
                <w:kern w:val="0"/>
                <w:sz w:val="20"/>
                <w:szCs w:val="20"/>
              </w:rPr>
            </w:pPr>
            <w:r>
              <w:rPr>
                <w:kern w:val="0"/>
                <w:sz w:val="20"/>
                <w:szCs w:val="20"/>
              </w:rPr>
              <w:t>362.00</w:t>
            </w:r>
          </w:p>
        </w:tc>
        <w:tc>
          <w:tcPr>
            <w:tcW w:w="1023" w:type="dxa"/>
            <w:shd w:val="clear" w:color="000000" w:fill="FFFFFF"/>
            <w:noWrap/>
            <w:vAlign w:val="center"/>
          </w:tcPr>
          <w:p>
            <w:pPr>
              <w:widowControl/>
              <w:jc w:val="right"/>
              <w:rPr>
                <w:kern w:val="0"/>
                <w:sz w:val="20"/>
                <w:szCs w:val="20"/>
              </w:rPr>
            </w:pPr>
            <w:r>
              <w:rPr>
                <w:kern w:val="0"/>
                <w:sz w:val="20"/>
                <w:szCs w:val="20"/>
              </w:rPr>
              <w:t>362.00</w:t>
            </w:r>
          </w:p>
        </w:tc>
        <w:tc>
          <w:tcPr>
            <w:tcW w:w="1569" w:type="dxa"/>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9" w:type="dxa"/>
            <w:shd w:val="clear" w:color="000000" w:fill="FFFFFF"/>
            <w:noWrap/>
            <w:vAlign w:val="center"/>
          </w:tcPr>
          <w:p>
            <w:pPr>
              <w:widowControl/>
              <w:jc w:val="left"/>
              <w:rPr>
                <w:kern w:val="0"/>
                <w:sz w:val="20"/>
                <w:szCs w:val="20"/>
              </w:rPr>
            </w:pPr>
            <w:r>
              <w:rPr>
                <w:kern w:val="0"/>
                <w:sz w:val="20"/>
                <w:szCs w:val="20"/>
              </w:rPr>
              <w:t>2210203</w:t>
            </w:r>
          </w:p>
        </w:tc>
        <w:tc>
          <w:tcPr>
            <w:tcW w:w="3412" w:type="dxa"/>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购房补贴</w:t>
            </w:r>
          </w:p>
        </w:tc>
        <w:tc>
          <w:tcPr>
            <w:tcW w:w="1124" w:type="dxa"/>
            <w:shd w:val="clear" w:color="000000" w:fill="FFFFFF"/>
            <w:noWrap/>
            <w:vAlign w:val="center"/>
          </w:tcPr>
          <w:p>
            <w:pPr>
              <w:widowControl/>
              <w:jc w:val="right"/>
              <w:rPr>
                <w:kern w:val="0"/>
                <w:sz w:val="20"/>
                <w:szCs w:val="20"/>
              </w:rPr>
            </w:pPr>
            <w:r>
              <w:rPr>
                <w:kern w:val="0"/>
                <w:sz w:val="20"/>
                <w:szCs w:val="20"/>
              </w:rPr>
              <w:t>35.00</w:t>
            </w:r>
          </w:p>
        </w:tc>
        <w:tc>
          <w:tcPr>
            <w:tcW w:w="1023" w:type="dxa"/>
            <w:shd w:val="clear" w:color="000000" w:fill="FFFFFF"/>
            <w:noWrap/>
            <w:vAlign w:val="center"/>
          </w:tcPr>
          <w:p>
            <w:pPr>
              <w:widowControl/>
              <w:jc w:val="right"/>
              <w:rPr>
                <w:kern w:val="0"/>
                <w:sz w:val="20"/>
                <w:szCs w:val="20"/>
              </w:rPr>
            </w:pPr>
            <w:r>
              <w:rPr>
                <w:kern w:val="0"/>
                <w:sz w:val="20"/>
                <w:szCs w:val="20"/>
              </w:rPr>
              <w:t>35.00</w:t>
            </w:r>
          </w:p>
        </w:tc>
        <w:tc>
          <w:tcPr>
            <w:tcW w:w="1569" w:type="dxa"/>
            <w:shd w:val="clear" w:color="000000" w:fill="FFFFFF"/>
            <w:noWrap/>
            <w:vAlign w:val="center"/>
          </w:tcPr>
          <w:p>
            <w:pPr>
              <w:widowControl/>
              <w:jc w:val="right"/>
              <w:rPr>
                <w:kern w:val="0"/>
                <w:sz w:val="20"/>
                <w:szCs w:val="20"/>
              </w:rPr>
            </w:pPr>
            <w:r>
              <w:rPr>
                <w:kern w:val="0"/>
                <w:sz w:val="20"/>
                <w:szCs w:val="20"/>
              </w:rPr>
              <w:t>0.00</w:t>
            </w:r>
          </w:p>
        </w:tc>
      </w:tr>
    </w:tbl>
    <w:p>
      <w:pPr>
        <w:topLinePunct/>
        <w:spacing w:line="500" w:lineRule="exact"/>
        <w:rPr>
          <w:rFonts w:eastAsia="黑体"/>
        </w:rPr>
        <w:sectPr>
          <w:pgSz w:w="11906" w:h="16838"/>
          <w:pgMar w:top="2155" w:right="1474" w:bottom="1361" w:left="1588" w:header="0" w:footer="1418" w:gutter="0"/>
          <w:pgNumType w:start="19"/>
          <w:cols w:space="425" w:num="1"/>
          <w:docGrid w:linePitch="312" w:charSpace="0"/>
        </w:sectPr>
      </w:pPr>
      <w:r>
        <w:rPr>
          <w:rFonts w:hint="eastAsia" w:cs="宋体"/>
          <w:kern w:val="0"/>
        </w:rPr>
        <w:t>注：本表反映部门本年度一般公共预算财政拨款支出情况。</w:t>
      </w:r>
    </w:p>
    <w:p>
      <w:pPr>
        <w:topLinePunct/>
        <w:spacing w:line="500" w:lineRule="exact"/>
        <w:jc w:val="center"/>
        <w:rPr>
          <w:rFonts w:eastAsia="黑体"/>
          <w:color w:val="000000"/>
          <w:kern w:val="0"/>
          <w:sz w:val="30"/>
          <w:szCs w:val="30"/>
        </w:rPr>
      </w:pPr>
      <w:r>
        <w:rPr>
          <w:rFonts w:hint="eastAsia" w:eastAsia="黑体" w:cs="黑体"/>
          <w:color w:val="000000"/>
          <w:kern w:val="0"/>
          <w:sz w:val="30"/>
          <w:szCs w:val="30"/>
        </w:rPr>
        <w:t>一般公共预算财政拨款基本支出决算表</w:t>
      </w:r>
    </w:p>
    <w:p>
      <w:pPr>
        <w:topLinePunct/>
        <w:spacing w:line="360" w:lineRule="exact"/>
        <w:jc w:val="right"/>
        <w:rPr>
          <w:rFonts w:ascii="宋体"/>
          <w:color w:val="000000"/>
          <w:kern w:val="0"/>
        </w:rPr>
      </w:pPr>
      <w:r>
        <w:rPr>
          <w:rFonts w:hint="eastAsia" w:ascii="宋体" w:hAnsi="宋体" w:cs="宋体"/>
          <w:color w:val="000000"/>
          <w:kern w:val="0"/>
        </w:rPr>
        <w:t>公开</w:t>
      </w:r>
      <w:r>
        <w:rPr>
          <w:rFonts w:ascii="宋体" w:hAnsi="宋体" w:cs="宋体"/>
          <w:color w:val="000000"/>
          <w:kern w:val="0"/>
        </w:rPr>
        <w:t>06</w:t>
      </w:r>
      <w:r>
        <w:rPr>
          <w:rFonts w:hint="eastAsia" w:ascii="宋体" w:hAnsi="宋体" w:cs="宋体"/>
          <w:color w:val="000000"/>
          <w:kern w:val="0"/>
        </w:rPr>
        <w:t>表</w:t>
      </w:r>
    </w:p>
    <w:p>
      <w:pPr>
        <w:topLinePunct/>
        <w:spacing w:line="360" w:lineRule="exact"/>
        <w:rPr>
          <w:rFonts w:ascii="宋体"/>
        </w:rPr>
      </w:pPr>
      <w:r>
        <w:rPr>
          <w:rFonts w:hint="eastAsia" w:ascii="宋体" w:hAnsi="宋体" w:cs="宋体"/>
          <w:color w:val="000000"/>
          <w:kern w:val="0"/>
        </w:rPr>
        <w:t>部门：湖南省民政厅</w:t>
      </w:r>
      <w:r>
        <w:rPr>
          <w:rFonts w:ascii="宋体" w:hAnsi="宋体" w:cs="宋体"/>
          <w:color w:val="000000"/>
          <w:kern w:val="0"/>
        </w:rPr>
        <w:t xml:space="preserve">                                                                                                   </w:t>
      </w:r>
      <w:r>
        <w:rPr>
          <w:rFonts w:hint="eastAsia" w:ascii="宋体" w:hAnsi="宋体" w:cs="宋体"/>
          <w:color w:val="000000"/>
          <w:kern w:val="0"/>
        </w:rPr>
        <w:t>金额单位：万元</w:t>
      </w:r>
    </w:p>
    <w:tbl>
      <w:tblPr>
        <w:tblStyle w:val="4"/>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3156"/>
        <w:gridCol w:w="902"/>
        <w:gridCol w:w="706"/>
        <w:gridCol w:w="2176"/>
        <w:gridCol w:w="902"/>
        <w:gridCol w:w="706"/>
        <w:gridCol w:w="3941"/>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blHeader/>
        </w:trPr>
        <w:tc>
          <w:tcPr>
            <w:tcW w:w="1690" w:type="pct"/>
            <w:gridSpan w:val="3"/>
            <w:shd w:val="clear" w:color="000000" w:fill="FFFFFF"/>
            <w:noWrap/>
            <w:vAlign w:val="center"/>
          </w:tcPr>
          <w:p>
            <w:pPr>
              <w:widowControl/>
              <w:jc w:val="center"/>
              <w:rPr>
                <w:kern w:val="0"/>
                <w:sz w:val="20"/>
                <w:szCs w:val="20"/>
              </w:rPr>
            </w:pPr>
            <w:r>
              <w:rPr>
                <w:rFonts w:hint="eastAsia" w:cs="宋体"/>
                <w:kern w:val="0"/>
                <w:sz w:val="20"/>
                <w:szCs w:val="20"/>
              </w:rPr>
              <w:t>人员经费</w:t>
            </w:r>
          </w:p>
        </w:tc>
        <w:tc>
          <w:tcPr>
            <w:tcW w:w="3310" w:type="pct"/>
            <w:gridSpan w:val="6"/>
            <w:shd w:val="clear" w:color="000000" w:fill="FFFFFF"/>
            <w:noWrap/>
            <w:vAlign w:val="center"/>
          </w:tcPr>
          <w:p>
            <w:pPr>
              <w:widowControl/>
              <w:jc w:val="center"/>
              <w:rPr>
                <w:kern w:val="0"/>
                <w:sz w:val="20"/>
                <w:szCs w:val="20"/>
              </w:rPr>
            </w:pPr>
            <w:r>
              <w:rPr>
                <w:rFonts w:hint="eastAsia" w:cs="宋体"/>
                <w:kern w:val="0"/>
                <w:sz w:val="20"/>
                <w:szCs w:val="20"/>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244"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科目编码</w:t>
            </w:r>
          </w:p>
        </w:tc>
        <w:tc>
          <w:tcPr>
            <w:tcW w:w="1099"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科目名称</w:t>
            </w:r>
          </w:p>
        </w:tc>
        <w:tc>
          <w:tcPr>
            <w:tcW w:w="347"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决算数</w:t>
            </w:r>
          </w:p>
        </w:tc>
        <w:tc>
          <w:tcPr>
            <w:tcW w:w="244"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科目编码</w:t>
            </w:r>
          </w:p>
        </w:tc>
        <w:tc>
          <w:tcPr>
            <w:tcW w:w="757"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科目名称</w:t>
            </w:r>
          </w:p>
        </w:tc>
        <w:tc>
          <w:tcPr>
            <w:tcW w:w="347"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决算数</w:t>
            </w:r>
          </w:p>
        </w:tc>
        <w:tc>
          <w:tcPr>
            <w:tcW w:w="244"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科目编码</w:t>
            </w:r>
          </w:p>
        </w:tc>
        <w:tc>
          <w:tcPr>
            <w:tcW w:w="1372"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科目名称</w:t>
            </w:r>
          </w:p>
        </w:tc>
        <w:tc>
          <w:tcPr>
            <w:tcW w:w="346" w:type="pct"/>
            <w:vMerge w:val="restart"/>
            <w:shd w:val="clear" w:color="000000" w:fill="FFFFFF"/>
            <w:vAlign w:val="center"/>
          </w:tcPr>
          <w:p>
            <w:pPr>
              <w:widowControl/>
              <w:spacing w:line="300" w:lineRule="exact"/>
              <w:jc w:val="center"/>
              <w:rPr>
                <w:kern w:val="0"/>
                <w:sz w:val="20"/>
                <w:szCs w:val="20"/>
              </w:rPr>
            </w:pPr>
            <w:r>
              <w:rPr>
                <w:rFonts w:hint="eastAsia" w:cs="宋体"/>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blHeader/>
        </w:trPr>
        <w:tc>
          <w:tcPr>
            <w:tcW w:w="244" w:type="pct"/>
            <w:vMerge w:val="continue"/>
            <w:vAlign w:val="center"/>
          </w:tcPr>
          <w:p>
            <w:pPr>
              <w:widowControl/>
              <w:jc w:val="left"/>
              <w:rPr>
                <w:kern w:val="0"/>
                <w:sz w:val="20"/>
                <w:szCs w:val="20"/>
              </w:rPr>
            </w:pPr>
          </w:p>
        </w:tc>
        <w:tc>
          <w:tcPr>
            <w:tcW w:w="1099" w:type="pct"/>
            <w:vMerge w:val="continue"/>
            <w:vAlign w:val="center"/>
          </w:tcPr>
          <w:p>
            <w:pPr>
              <w:widowControl/>
              <w:jc w:val="left"/>
              <w:rPr>
                <w:kern w:val="0"/>
                <w:sz w:val="20"/>
                <w:szCs w:val="20"/>
              </w:rPr>
            </w:pPr>
          </w:p>
        </w:tc>
        <w:tc>
          <w:tcPr>
            <w:tcW w:w="347" w:type="pct"/>
            <w:vMerge w:val="continue"/>
            <w:vAlign w:val="center"/>
          </w:tcPr>
          <w:p>
            <w:pPr>
              <w:widowControl/>
              <w:jc w:val="left"/>
              <w:rPr>
                <w:kern w:val="0"/>
                <w:sz w:val="20"/>
                <w:szCs w:val="20"/>
              </w:rPr>
            </w:pPr>
          </w:p>
        </w:tc>
        <w:tc>
          <w:tcPr>
            <w:tcW w:w="244" w:type="pct"/>
            <w:vMerge w:val="continue"/>
            <w:vAlign w:val="center"/>
          </w:tcPr>
          <w:p>
            <w:pPr>
              <w:widowControl/>
              <w:jc w:val="left"/>
              <w:rPr>
                <w:kern w:val="0"/>
                <w:sz w:val="20"/>
                <w:szCs w:val="20"/>
              </w:rPr>
            </w:pPr>
          </w:p>
        </w:tc>
        <w:tc>
          <w:tcPr>
            <w:tcW w:w="757" w:type="pct"/>
            <w:vMerge w:val="continue"/>
            <w:vAlign w:val="center"/>
          </w:tcPr>
          <w:p>
            <w:pPr>
              <w:widowControl/>
              <w:jc w:val="left"/>
              <w:rPr>
                <w:kern w:val="0"/>
                <w:sz w:val="20"/>
                <w:szCs w:val="20"/>
              </w:rPr>
            </w:pPr>
          </w:p>
        </w:tc>
        <w:tc>
          <w:tcPr>
            <w:tcW w:w="347" w:type="pct"/>
            <w:vMerge w:val="continue"/>
            <w:vAlign w:val="center"/>
          </w:tcPr>
          <w:p>
            <w:pPr>
              <w:widowControl/>
              <w:jc w:val="left"/>
              <w:rPr>
                <w:kern w:val="0"/>
                <w:sz w:val="20"/>
                <w:szCs w:val="20"/>
              </w:rPr>
            </w:pPr>
          </w:p>
        </w:tc>
        <w:tc>
          <w:tcPr>
            <w:tcW w:w="244" w:type="pct"/>
            <w:vMerge w:val="continue"/>
            <w:vAlign w:val="center"/>
          </w:tcPr>
          <w:p>
            <w:pPr>
              <w:widowControl/>
              <w:jc w:val="left"/>
              <w:rPr>
                <w:kern w:val="0"/>
                <w:sz w:val="20"/>
                <w:szCs w:val="20"/>
              </w:rPr>
            </w:pPr>
          </w:p>
        </w:tc>
        <w:tc>
          <w:tcPr>
            <w:tcW w:w="1372" w:type="pct"/>
            <w:vMerge w:val="continue"/>
            <w:vAlign w:val="center"/>
          </w:tcPr>
          <w:p>
            <w:pPr>
              <w:widowControl/>
              <w:jc w:val="left"/>
              <w:rPr>
                <w:kern w:val="0"/>
                <w:sz w:val="20"/>
                <w:szCs w:val="20"/>
              </w:rPr>
            </w:pPr>
          </w:p>
        </w:tc>
        <w:tc>
          <w:tcPr>
            <w:tcW w:w="346" w:type="pct"/>
            <w:vMerge w:val="continue"/>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w:t>
            </w:r>
          </w:p>
        </w:tc>
        <w:tc>
          <w:tcPr>
            <w:tcW w:w="1099" w:type="pct"/>
            <w:shd w:val="clear" w:color="000000" w:fill="FFFFFF"/>
            <w:noWrap/>
            <w:vAlign w:val="center"/>
          </w:tcPr>
          <w:p>
            <w:pPr>
              <w:widowControl/>
              <w:jc w:val="left"/>
              <w:rPr>
                <w:kern w:val="0"/>
                <w:sz w:val="20"/>
                <w:szCs w:val="20"/>
              </w:rPr>
            </w:pPr>
            <w:r>
              <w:rPr>
                <w:rFonts w:hint="eastAsia" w:cs="宋体"/>
                <w:kern w:val="0"/>
                <w:sz w:val="20"/>
                <w:szCs w:val="20"/>
              </w:rPr>
              <w:t>工资福利支出</w:t>
            </w:r>
          </w:p>
        </w:tc>
        <w:tc>
          <w:tcPr>
            <w:tcW w:w="347" w:type="pct"/>
            <w:shd w:val="clear" w:color="000000" w:fill="FFFFFF"/>
            <w:noWrap/>
            <w:vAlign w:val="center"/>
          </w:tcPr>
          <w:p>
            <w:pPr>
              <w:widowControl/>
              <w:jc w:val="right"/>
              <w:rPr>
                <w:kern w:val="0"/>
                <w:sz w:val="20"/>
                <w:szCs w:val="20"/>
              </w:rPr>
            </w:pPr>
            <w:r>
              <w:rPr>
                <w:kern w:val="0"/>
                <w:sz w:val="20"/>
                <w:szCs w:val="20"/>
              </w:rPr>
              <w:t>6,437.31</w:t>
            </w:r>
          </w:p>
        </w:tc>
        <w:tc>
          <w:tcPr>
            <w:tcW w:w="244" w:type="pct"/>
            <w:shd w:val="clear" w:color="000000" w:fill="FFFFFF"/>
            <w:noWrap/>
            <w:vAlign w:val="center"/>
          </w:tcPr>
          <w:p>
            <w:pPr>
              <w:widowControl/>
              <w:jc w:val="left"/>
              <w:rPr>
                <w:kern w:val="0"/>
                <w:sz w:val="20"/>
                <w:szCs w:val="20"/>
              </w:rPr>
            </w:pPr>
            <w:r>
              <w:rPr>
                <w:kern w:val="0"/>
                <w:sz w:val="20"/>
                <w:szCs w:val="20"/>
              </w:rPr>
              <w:t>302</w:t>
            </w:r>
          </w:p>
        </w:tc>
        <w:tc>
          <w:tcPr>
            <w:tcW w:w="757" w:type="pct"/>
            <w:shd w:val="clear" w:color="000000" w:fill="FFFFFF"/>
            <w:noWrap/>
            <w:vAlign w:val="center"/>
          </w:tcPr>
          <w:p>
            <w:pPr>
              <w:widowControl/>
              <w:jc w:val="left"/>
              <w:rPr>
                <w:kern w:val="0"/>
                <w:sz w:val="20"/>
                <w:szCs w:val="20"/>
              </w:rPr>
            </w:pPr>
            <w:r>
              <w:rPr>
                <w:rFonts w:hint="eastAsia" w:cs="宋体"/>
                <w:kern w:val="0"/>
                <w:sz w:val="20"/>
                <w:szCs w:val="20"/>
              </w:rPr>
              <w:t>商品和服务支出</w:t>
            </w:r>
          </w:p>
        </w:tc>
        <w:tc>
          <w:tcPr>
            <w:tcW w:w="347" w:type="pct"/>
            <w:shd w:val="clear" w:color="000000" w:fill="FFFFFF"/>
            <w:noWrap/>
            <w:vAlign w:val="center"/>
          </w:tcPr>
          <w:p>
            <w:pPr>
              <w:widowControl/>
              <w:jc w:val="right"/>
              <w:rPr>
                <w:kern w:val="0"/>
                <w:sz w:val="20"/>
                <w:szCs w:val="20"/>
              </w:rPr>
            </w:pPr>
            <w:r>
              <w:rPr>
                <w:kern w:val="0"/>
                <w:sz w:val="20"/>
                <w:szCs w:val="20"/>
              </w:rPr>
              <w:t>1,838.39</w:t>
            </w:r>
          </w:p>
        </w:tc>
        <w:tc>
          <w:tcPr>
            <w:tcW w:w="244" w:type="pct"/>
            <w:shd w:val="clear" w:color="000000" w:fill="FFFFFF"/>
            <w:noWrap/>
            <w:vAlign w:val="center"/>
          </w:tcPr>
          <w:p>
            <w:pPr>
              <w:widowControl/>
              <w:jc w:val="left"/>
              <w:rPr>
                <w:kern w:val="0"/>
                <w:sz w:val="20"/>
                <w:szCs w:val="20"/>
              </w:rPr>
            </w:pPr>
            <w:r>
              <w:rPr>
                <w:kern w:val="0"/>
                <w:sz w:val="20"/>
                <w:szCs w:val="20"/>
              </w:rPr>
              <w:t>307</w:t>
            </w:r>
          </w:p>
        </w:tc>
        <w:tc>
          <w:tcPr>
            <w:tcW w:w="1372" w:type="pct"/>
            <w:shd w:val="clear" w:color="000000" w:fill="FFFFFF"/>
            <w:noWrap/>
            <w:vAlign w:val="center"/>
          </w:tcPr>
          <w:p>
            <w:pPr>
              <w:widowControl/>
              <w:jc w:val="left"/>
              <w:rPr>
                <w:kern w:val="0"/>
                <w:sz w:val="20"/>
                <w:szCs w:val="20"/>
              </w:rPr>
            </w:pPr>
            <w:r>
              <w:rPr>
                <w:rFonts w:hint="eastAsia" w:cs="宋体"/>
                <w:kern w:val="0"/>
                <w:sz w:val="20"/>
                <w:szCs w:val="20"/>
              </w:rPr>
              <w:t>债务利息及费用支出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30101</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基本工资</w:t>
            </w:r>
          </w:p>
        </w:tc>
        <w:tc>
          <w:tcPr>
            <w:tcW w:w="347" w:type="pct"/>
            <w:shd w:val="clear" w:color="000000" w:fill="FFFFFF"/>
            <w:noWrap/>
            <w:vAlign w:val="center"/>
          </w:tcPr>
          <w:p>
            <w:pPr>
              <w:widowControl/>
              <w:jc w:val="right"/>
              <w:rPr>
                <w:kern w:val="0"/>
                <w:sz w:val="20"/>
                <w:szCs w:val="20"/>
              </w:rPr>
            </w:pPr>
            <w:r>
              <w:rPr>
                <w:kern w:val="0"/>
                <w:sz w:val="20"/>
                <w:szCs w:val="20"/>
              </w:rPr>
              <w:t>1,853.13</w:t>
            </w:r>
          </w:p>
        </w:tc>
        <w:tc>
          <w:tcPr>
            <w:tcW w:w="244" w:type="pct"/>
            <w:shd w:val="clear" w:color="000000" w:fill="FFFFFF"/>
            <w:noWrap/>
            <w:vAlign w:val="center"/>
          </w:tcPr>
          <w:p>
            <w:pPr>
              <w:widowControl/>
              <w:jc w:val="left"/>
              <w:rPr>
                <w:kern w:val="0"/>
                <w:sz w:val="20"/>
                <w:szCs w:val="20"/>
              </w:rPr>
            </w:pPr>
            <w:r>
              <w:rPr>
                <w:kern w:val="0"/>
                <w:sz w:val="20"/>
                <w:szCs w:val="20"/>
              </w:rPr>
              <w:t>30201</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办公费</w:t>
            </w:r>
          </w:p>
        </w:tc>
        <w:tc>
          <w:tcPr>
            <w:tcW w:w="347" w:type="pct"/>
            <w:shd w:val="clear" w:color="000000" w:fill="FFFFFF"/>
            <w:noWrap/>
            <w:vAlign w:val="center"/>
          </w:tcPr>
          <w:p>
            <w:pPr>
              <w:widowControl/>
              <w:jc w:val="right"/>
              <w:rPr>
                <w:kern w:val="0"/>
                <w:sz w:val="20"/>
                <w:szCs w:val="20"/>
              </w:rPr>
            </w:pPr>
            <w:r>
              <w:rPr>
                <w:kern w:val="0"/>
                <w:sz w:val="20"/>
                <w:szCs w:val="20"/>
              </w:rPr>
              <w:t>186.63</w:t>
            </w:r>
          </w:p>
        </w:tc>
        <w:tc>
          <w:tcPr>
            <w:tcW w:w="244" w:type="pct"/>
            <w:shd w:val="clear" w:color="000000" w:fill="FFFFFF"/>
            <w:noWrap/>
            <w:vAlign w:val="center"/>
          </w:tcPr>
          <w:p>
            <w:pPr>
              <w:widowControl/>
              <w:jc w:val="left"/>
              <w:rPr>
                <w:kern w:val="0"/>
                <w:sz w:val="20"/>
                <w:szCs w:val="20"/>
              </w:rPr>
            </w:pPr>
            <w:r>
              <w:rPr>
                <w:kern w:val="0"/>
                <w:sz w:val="20"/>
                <w:szCs w:val="20"/>
              </w:rPr>
              <w:t>30701</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国内债务付息</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30102</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津贴补贴</w:t>
            </w:r>
          </w:p>
        </w:tc>
        <w:tc>
          <w:tcPr>
            <w:tcW w:w="347" w:type="pct"/>
            <w:shd w:val="clear" w:color="000000" w:fill="FFFFFF"/>
            <w:noWrap/>
            <w:vAlign w:val="center"/>
          </w:tcPr>
          <w:p>
            <w:pPr>
              <w:widowControl/>
              <w:jc w:val="right"/>
              <w:rPr>
                <w:kern w:val="0"/>
                <w:sz w:val="20"/>
                <w:szCs w:val="20"/>
              </w:rPr>
            </w:pPr>
            <w:r>
              <w:rPr>
                <w:kern w:val="0"/>
                <w:sz w:val="20"/>
                <w:szCs w:val="20"/>
              </w:rPr>
              <w:t>1,309.22</w:t>
            </w:r>
          </w:p>
        </w:tc>
        <w:tc>
          <w:tcPr>
            <w:tcW w:w="244" w:type="pct"/>
            <w:shd w:val="clear" w:color="000000" w:fill="FFFFFF"/>
            <w:noWrap/>
            <w:vAlign w:val="center"/>
          </w:tcPr>
          <w:p>
            <w:pPr>
              <w:widowControl/>
              <w:jc w:val="left"/>
              <w:rPr>
                <w:kern w:val="0"/>
                <w:sz w:val="20"/>
                <w:szCs w:val="20"/>
              </w:rPr>
            </w:pPr>
            <w:r>
              <w:rPr>
                <w:kern w:val="0"/>
                <w:sz w:val="20"/>
                <w:szCs w:val="20"/>
              </w:rPr>
              <w:t>30202</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印刷费</w:t>
            </w:r>
          </w:p>
        </w:tc>
        <w:tc>
          <w:tcPr>
            <w:tcW w:w="347" w:type="pct"/>
            <w:shd w:val="clear" w:color="000000" w:fill="FFFFFF"/>
            <w:noWrap/>
            <w:vAlign w:val="center"/>
          </w:tcPr>
          <w:p>
            <w:pPr>
              <w:widowControl/>
              <w:jc w:val="right"/>
              <w:rPr>
                <w:kern w:val="0"/>
                <w:sz w:val="20"/>
                <w:szCs w:val="20"/>
              </w:rPr>
            </w:pPr>
            <w:r>
              <w:rPr>
                <w:kern w:val="0"/>
                <w:sz w:val="20"/>
                <w:szCs w:val="20"/>
              </w:rPr>
              <w:t>22.95</w:t>
            </w:r>
          </w:p>
        </w:tc>
        <w:tc>
          <w:tcPr>
            <w:tcW w:w="244" w:type="pct"/>
            <w:shd w:val="clear" w:color="000000" w:fill="FFFFFF"/>
            <w:noWrap/>
            <w:vAlign w:val="center"/>
          </w:tcPr>
          <w:p>
            <w:pPr>
              <w:widowControl/>
              <w:jc w:val="left"/>
              <w:rPr>
                <w:kern w:val="0"/>
                <w:sz w:val="20"/>
                <w:szCs w:val="20"/>
              </w:rPr>
            </w:pPr>
            <w:r>
              <w:rPr>
                <w:kern w:val="0"/>
                <w:sz w:val="20"/>
                <w:szCs w:val="20"/>
              </w:rPr>
              <w:t>30702</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国外债务付息</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30103</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奖金</w:t>
            </w:r>
          </w:p>
        </w:tc>
        <w:tc>
          <w:tcPr>
            <w:tcW w:w="347" w:type="pct"/>
            <w:shd w:val="clear" w:color="000000" w:fill="FFFFFF"/>
            <w:noWrap/>
            <w:vAlign w:val="center"/>
          </w:tcPr>
          <w:p>
            <w:pPr>
              <w:widowControl/>
              <w:jc w:val="right"/>
              <w:rPr>
                <w:kern w:val="0"/>
                <w:sz w:val="20"/>
                <w:szCs w:val="20"/>
              </w:rPr>
            </w:pPr>
            <w:r>
              <w:rPr>
                <w:kern w:val="0"/>
                <w:sz w:val="20"/>
                <w:szCs w:val="20"/>
              </w:rPr>
              <w:t>1,580.08</w:t>
            </w:r>
          </w:p>
        </w:tc>
        <w:tc>
          <w:tcPr>
            <w:tcW w:w="244" w:type="pct"/>
            <w:shd w:val="clear" w:color="000000" w:fill="FFFFFF"/>
            <w:noWrap/>
            <w:vAlign w:val="center"/>
          </w:tcPr>
          <w:p>
            <w:pPr>
              <w:widowControl/>
              <w:jc w:val="left"/>
              <w:rPr>
                <w:kern w:val="0"/>
                <w:sz w:val="20"/>
                <w:szCs w:val="20"/>
              </w:rPr>
            </w:pPr>
            <w:r>
              <w:rPr>
                <w:kern w:val="0"/>
                <w:sz w:val="20"/>
                <w:szCs w:val="20"/>
              </w:rPr>
              <w:t>30203</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咨询费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310</w:t>
            </w:r>
          </w:p>
        </w:tc>
        <w:tc>
          <w:tcPr>
            <w:tcW w:w="1372" w:type="pct"/>
            <w:shd w:val="clear" w:color="000000" w:fill="FFFFFF"/>
            <w:noWrap/>
            <w:vAlign w:val="center"/>
          </w:tcPr>
          <w:p>
            <w:pPr>
              <w:widowControl/>
              <w:jc w:val="left"/>
              <w:rPr>
                <w:kern w:val="0"/>
                <w:sz w:val="20"/>
                <w:szCs w:val="20"/>
              </w:rPr>
            </w:pPr>
            <w:r>
              <w:rPr>
                <w:rFonts w:hint="eastAsia" w:cs="宋体"/>
                <w:kern w:val="0"/>
                <w:sz w:val="20"/>
                <w:szCs w:val="20"/>
              </w:rPr>
              <w:t>资本性支出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30106</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伙食补助费</w:t>
            </w:r>
          </w:p>
        </w:tc>
        <w:tc>
          <w:tcPr>
            <w:tcW w:w="347" w:type="pct"/>
            <w:shd w:val="clear" w:color="000000" w:fill="FFFFFF"/>
            <w:noWrap/>
            <w:vAlign w:val="center"/>
          </w:tcPr>
          <w:p>
            <w:pPr>
              <w:widowControl/>
              <w:jc w:val="right"/>
              <w:rPr>
                <w:kern w:val="0"/>
                <w:sz w:val="20"/>
                <w:szCs w:val="20"/>
              </w:rPr>
            </w:pPr>
            <w:r>
              <w:rPr>
                <w:kern w:val="0"/>
                <w:sz w:val="20"/>
                <w:szCs w:val="20"/>
              </w:rPr>
              <w:t>139.74</w:t>
            </w:r>
          </w:p>
        </w:tc>
        <w:tc>
          <w:tcPr>
            <w:tcW w:w="244" w:type="pct"/>
            <w:shd w:val="clear" w:color="000000" w:fill="FFFFFF"/>
            <w:noWrap/>
            <w:vAlign w:val="center"/>
          </w:tcPr>
          <w:p>
            <w:pPr>
              <w:widowControl/>
              <w:jc w:val="left"/>
              <w:rPr>
                <w:kern w:val="0"/>
                <w:sz w:val="20"/>
                <w:szCs w:val="20"/>
              </w:rPr>
            </w:pPr>
            <w:r>
              <w:rPr>
                <w:kern w:val="0"/>
                <w:sz w:val="20"/>
                <w:szCs w:val="20"/>
              </w:rPr>
              <w:t>30204</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手续费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31001</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房屋建筑物购建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30107</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绩效工资</w:t>
            </w:r>
          </w:p>
        </w:tc>
        <w:tc>
          <w:tcPr>
            <w:tcW w:w="347" w:type="pct"/>
            <w:shd w:val="clear" w:color="000000" w:fill="FFFFFF"/>
            <w:noWrap/>
            <w:vAlign w:val="center"/>
          </w:tcPr>
          <w:p>
            <w:pPr>
              <w:widowControl/>
              <w:jc w:val="right"/>
              <w:rPr>
                <w:kern w:val="0"/>
                <w:sz w:val="20"/>
                <w:szCs w:val="20"/>
              </w:rPr>
            </w:pPr>
            <w:r>
              <w:rPr>
                <w:kern w:val="0"/>
                <w:sz w:val="20"/>
                <w:szCs w:val="20"/>
              </w:rPr>
              <w:t>174.33</w:t>
            </w:r>
          </w:p>
        </w:tc>
        <w:tc>
          <w:tcPr>
            <w:tcW w:w="244" w:type="pct"/>
            <w:shd w:val="clear" w:color="000000" w:fill="FFFFFF"/>
            <w:noWrap/>
            <w:vAlign w:val="center"/>
          </w:tcPr>
          <w:p>
            <w:pPr>
              <w:widowControl/>
              <w:jc w:val="left"/>
              <w:rPr>
                <w:kern w:val="0"/>
                <w:sz w:val="20"/>
                <w:szCs w:val="20"/>
              </w:rPr>
            </w:pPr>
            <w:r>
              <w:rPr>
                <w:kern w:val="0"/>
                <w:sz w:val="20"/>
                <w:szCs w:val="20"/>
              </w:rPr>
              <w:t>30205</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水费</w:t>
            </w:r>
          </w:p>
        </w:tc>
        <w:tc>
          <w:tcPr>
            <w:tcW w:w="347" w:type="pct"/>
            <w:shd w:val="clear" w:color="000000" w:fill="FFFFFF"/>
            <w:noWrap/>
            <w:vAlign w:val="center"/>
          </w:tcPr>
          <w:p>
            <w:pPr>
              <w:widowControl/>
              <w:jc w:val="right"/>
              <w:rPr>
                <w:kern w:val="0"/>
                <w:sz w:val="20"/>
                <w:szCs w:val="20"/>
              </w:rPr>
            </w:pPr>
            <w:r>
              <w:rPr>
                <w:kern w:val="0"/>
                <w:sz w:val="20"/>
                <w:szCs w:val="20"/>
              </w:rPr>
              <w:t>16.94</w:t>
            </w:r>
          </w:p>
        </w:tc>
        <w:tc>
          <w:tcPr>
            <w:tcW w:w="244" w:type="pct"/>
            <w:shd w:val="clear" w:color="000000" w:fill="FFFFFF"/>
            <w:noWrap/>
            <w:vAlign w:val="center"/>
          </w:tcPr>
          <w:p>
            <w:pPr>
              <w:widowControl/>
              <w:jc w:val="left"/>
              <w:rPr>
                <w:kern w:val="0"/>
                <w:sz w:val="20"/>
                <w:szCs w:val="20"/>
              </w:rPr>
            </w:pPr>
            <w:r>
              <w:rPr>
                <w:kern w:val="0"/>
                <w:sz w:val="20"/>
                <w:szCs w:val="20"/>
              </w:rPr>
              <w:t>31002</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办公设备购置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30108</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机关事业单位基本养老保险缴费</w:t>
            </w:r>
          </w:p>
        </w:tc>
        <w:tc>
          <w:tcPr>
            <w:tcW w:w="347" w:type="pct"/>
            <w:shd w:val="clear" w:color="000000" w:fill="FFFFFF"/>
            <w:noWrap/>
            <w:vAlign w:val="center"/>
          </w:tcPr>
          <w:p>
            <w:pPr>
              <w:widowControl/>
              <w:jc w:val="right"/>
              <w:rPr>
                <w:kern w:val="0"/>
                <w:sz w:val="20"/>
                <w:szCs w:val="20"/>
              </w:rPr>
            </w:pPr>
            <w:r>
              <w:rPr>
                <w:kern w:val="0"/>
                <w:sz w:val="20"/>
                <w:szCs w:val="20"/>
              </w:rPr>
              <w:t>507.77</w:t>
            </w:r>
          </w:p>
        </w:tc>
        <w:tc>
          <w:tcPr>
            <w:tcW w:w="244" w:type="pct"/>
            <w:shd w:val="clear" w:color="000000" w:fill="FFFFFF"/>
            <w:noWrap/>
            <w:vAlign w:val="center"/>
          </w:tcPr>
          <w:p>
            <w:pPr>
              <w:widowControl/>
              <w:jc w:val="left"/>
              <w:rPr>
                <w:kern w:val="0"/>
                <w:sz w:val="20"/>
                <w:szCs w:val="20"/>
              </w:rPr>
            </w:pPr>
            <w:r>
              <w:rPr>
                <w:kern w:val="0"/>
                <w:sz w:val="20"/>
                <w:szCs w:val="20"/>
              </w:rPr>
              <w:t>30206</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电费</w:t>
            </w:r>
          </w:p>
        </w:tc>
        <w:tc>
          <w:tcPr>
            <w:tcW w:w="347" w:type="pct"/>
            <w:shd w:val="clear" w:color="000000" w:fill="FFFFFF"/>
            <w:noWrap/>
            <w:vAlign w:val="center"/>
          </w:tcPr>
          <w:p>
            <w:pPr>
              <w:widowControl/>
              <w:jc w:val="right"/>
              <w:rPr>
                <w:kern w:val="0"/>
                <w:sz w:val="20"/>
                <w:szCs w:val="20"/>
              </w:rPr>
            </w:pPr>
            <w:r>
              <w:rPr>
                <w:kern w:val="0"/>
                <w:sz w:val="20"/>
                <w:szCs w:val="20"/>
              </w:rPr>
              <w:t>275.47</w:t>
            </w:r>
          </w:p>
        </w:tc>
        <w:tc>
          <w:tcPr>
            <w:tcW w:w="244" w:type="pct"/>
            <w:shd w:val="clear" w:color="000000" w:fill="FFFFFF"/>
            <w:noWrap/>
            <w:vAlign w:val="center"/>
          </w:tcPr>
          <w:p>
            <w:pPr>
              <w:widowControl/>
              <w:jc w:val="left"/>
              <w:rPr>
                <w:kern w:val="0"/>
                <w:sz w:val="20"/>
                <w:szCs w:val="20"/>
              </w:rPr>
            </w:pPr>
            <w:r>
              <w:rPr>
                <w:kern w:val="0"/>
                <w:sz w:val="20"/>
                <w:szCs w:val="20"/>
              </w:rPr>
              <w:t>31003</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专用设备购置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30109</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职业年金缴费</w:t>
            </w:r>
          </w:p>
        </w:tc>
        <w:tc>
          <w:tcPr>
            <w:tcW w:w="347" w:type="pct"/>
            <w:shd w:val="clear" w:color="000000" w:fill="FFFFFF"/>
            <w:noWrap/>
            <w:vAlign w:val="center"/>
          </w:tcPr>
          <w:p>
            <w:pPr>
              <w:widowControl/>
              <w:jc w:val="right"/>
              <w:rPr>
                <w:kern w:val="0"/>
                <w:sz w:val="20"/>
                <w:szCs w:val="20"/>
              </w:rPr>
            </w:pPr>
            <w:r>
              <w:rPr>
                <w:kern w:val="0"/>
                <w:sz w:val="20"/>
                <w:szCs w:val="20"/>
              </w:rPr>
              <w:t>22.10</w:t>
            </w:r>
          </w:p>
        </w:tc>
        <w:tc>
          <w:tcPr>
            <w:tcW w:w="244" w:type="pct"/>
            <w:shd w:val="clear" w:color="000000" w:fill="FFFFFF"/>
            <w:noWrap/>
            <w:vAlign w:val="center"/>
          </w:tcPr>
          <w:p>
            <w:pPr>
              <w:widowControl/>
              <w:jc w:val="left"/>
              <w:rPr>
                <w:kern w:val="0"/>
                <w:sz w:val="20"/>
                <w:szCs w:val="20"/>
              </w:rPr>
            </w:pPr>
            <w:r>
              <w:rPr>
                <w:kern w:val="0"/>
                <w:sz w:val="20"/>
                <w:szCs w:val="20"/>
              </w:rPr>
              <w:t>30207</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邮电费</w:t>
            </w:r>
          </w:p>
        </w:tc>
        <w:tc>
          <w:tcPr>
            <w:tcW w:w="347" w:type="pct"/>
            <w:shd w:val="clear" w:color="000000" w:fill="FFFFFF"/>
            <w:noWrap/>
            <w:vAlign w:val="center"/>
          </w:tcPr>
          <w:p>
            <w:pPr>
              <w:widowControl/>
              <w:jc w:val="right"/>
              <w:rPr>
                <w:kern w:val="0"/>
                <w:sz w:val="20"/>
                <w:szCs w:val="20"/>
              </w:rPr>
            </w:pPr>
            <w:r>
              <w:rPr>
                <w:kern w:val="0"/>
                <w:sz w:val="20"/>
                <w:szCs w:val="20"/>
              </w:rPr>
              <w:t>33.07</w:t>
            </w:r>
          </w:p>
        </w:tc>
        <w:tc>
          <w:tcPr>
            <w:tcW w:w="244" w:type="pct"/>
            <w:shd w:val="clear" w:color="000000" w:fill="FFFFFF"/>
            <w:noWrap/>
            <w:vAlign w:val="center"/>
          </w:tcPr>
          <w:p>
            <w:pPr>
              <w:widowControl/>
              <w:jc w:val="left"/>
              <w:rPr>
                <w:kern w:val="0"/>
                <w:sz w:val="20"/>
                <w:szCs w:val="20"/>
              </w:rPr>
            </w:pPr>
            <w:r>
              <w:rPr>
                <w:kern w:val="0"/>
                <w:sz w:val="20"/>
                <w:szCs w:val="20"/>
              </w:rPr>
              <w:t>31005</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基础设施建设</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30110</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职工基本医疗保险缴费</w:t>
            </w:r>
          </w:p>
        </w:tc>
        <w:tc>
          <w:tcPr>
            <w:tcW w:w="347" w:type="pct"/>
            <w:shd w:val="clear" w:color="000000" w:fill="FFFFFF"/>
            <w:noWrap/>
            <w:vAlign w:val="center"/>
          </w:tcPr>
          <w:p>
            <w:pPr>
              <w:widowControl/>
              <w:jc w:val="right"/>
              <w:rPr>
                <w:kern w:val="0"/>
                <w:sz w:val="20"/>
                <w:szCs w:val="20"/>
              </w:rPr>
            </w:pPr>
            <w:r>
              <w:rPr>
                <w:kern w:val="0"/>
                <w:sz w:val="20"/>
                <w:szCs w:val="20"/>
              </w:rPr>
              <w:t>325.74</w:t>
            </w:r>
          </w:p>
        </w:tc>
        <w:tc>
          <w:tcPr>
            <w:tcW w:w="244" w:type="pct"/>
            <w:shd w:val="clear" w:color="000000" w:fill="FFFFFF"/>
            <w:noWrap/>
            <w:vAlign w:val="center"/>
          </w:tcPr>
          <w:p>
            <w:pPr>
              <w:widowControl/>
              <w:jc w:val="left"/>
              <w:rPr>
                <w:kern w:val="0"/>
                <w:sz w:val="20"/>
                <w:szCs w:val="20"/>
              </w:rPr>
            </w:pPr>
            <w:r>
              <w:rPr>
                <w:kern w:val="0"/>
                <w:sz w:val="20"/>
                <w:szCs w:val="20"/>
              </w:rPr>
              <w:t>30208</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取暖费</w:t>
            </w:r>
          </w:p>
        </w:tc>
        <w:tc>
          <w:tcPr>
            <w:tcW w:w="347" w:type="pct"/>
            <w:shd w:val="clear" w:color="000000" w:fill="FFFFFF"/>
            <w:noWrap/>
            <w:vAlign w:val="center"/>
          </w:tcPr>
          <w:p>
            <w:pPr>
              <w:widowControl/>
              <w:jc w:val="right"/>
              <w:rPr>
                <w:kern w:val="0"/>
                <w:sz w:val="20"/>
                <w:szCs w:val="20"/>
              </w:rPr>
            </w:pPr>
            <w:r>
              <w:rPr>
                <w:kern w:val="0"/>
                <w:sz w:val="20"/>
                <w:szCs w:val="20"/>
              </w:rPr>
              <w:t>55.40</w:t>
            </w:r>
          </w:p>
        </w:tc>
        <w:tc>
          <w:tcPr>
            <w:tcW w:w="244" w:type="pct"/>
            <w:shd w:val="clear" w:color="000000" w:fill="FFFFFF"/>
            <w:noWrap/>
            <w:vAlign w:val="center"/>
          </w:tcPr>
          <w:p>
            <w:pPr>
              <w:widowControl/>
              <w:jc w:val="left"/>
              <w:rPr>
                <w:kern w:val="0"/>
                <w:sz w:val="20"/>
                <w:szCs w:val="20"/>
              </w:rPr>
            </w:pPr>
            <w:r>
              <w:rPr>
                <w:kern w:val="0"/>
                <w:sz w:val="20"/>
                <w:szCs w:val="20"/>
              </w:rPr>
              <w:t>31006</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大型修缮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30111</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公务员医疗补助缴费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30209</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物业管理费</w:t>
            </w:r>
          </w:p>
        </w:tc>
        <w:tc>
          <w:tcPr>
            <w:tcW w:w="347" w:type="pct"/>
            <w:shd w:val="clear" w:color="000000" w:fill="FFFFFF"/>
            <w:noWrap/>
            <w:vAlign w:val="center"/>
          </w:tcPr>
          <w:p>
            <w:pPr>
              <w:widowControl/>
              <w:jc w:val="right"/>
              <w:rPr>
                <w:kern w:val="0"/>
                <w:sz w:val="20"/>
                <w:szCs w:val="20"/>
              </w:rPr>
            </w:pPr>
            <w:r>
              <w:rPr>
                <w:kern w:val="0"/>
                <w:sz w:val="20"/>
                <w:szCs w:val="20"/>
              </w:rPr>
              <w:t>195.02</w:t>
            </w:r>
          </w:p>
        </w:tc>
        <w:tc>
          <w:tcPr>
            <w:tcW w:w="244" w:type="pct"/>
            <w:shd w:val="clear" w:color="000000" w:fill="FFFFFF"/>
            <w:noWrap/>
            <w:vAlign w:val="center"/>
          </w:tcPr>
          <w:p>
            <w:pPr>
              <w:widowControl/>
              <w:jc w:val="left"/>
              <w:rPr>
                <w:kern w:val="0"/>
                <w:sz w:val="20"/>
                <w:szCs w:val="20"/>
              </w:rPr>
            </w:pPr>
            <w:r>
              <w:rPr>
                <w:kern w:val="0"/>
                <w:sz w:val="20"/>
                <w:szCs w:val="20"/>
              </w:rPr>
              <w:t>31007</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信息网络及软件购置更新</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30112</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其他社会保障缴费</w:t>
            </w:r>
          </w:p>
        </w:tc>
        <w:tc>
          <w:tcPr>
            <w:tcW w:w="347" w:type="pct"/>
            <w:shd w:val="clear" w:color="000000" w:fill="FFFFFF"/>
            <w:noWrap/>
            <w:vAlign w:val="center"/>
          </w:tcPr>
          <w:p>
            <w:pPr>
              <w:widowControl/>
              <w:jc w:val="right"/>
              <w:rPr>
                <w:kern w:val="0"/>
                <w:sz w:val="20"/>
                <w:szCs w:val="20"/>
              </w:rPr>
            </w:pPr>
            <w:r>
              <w:rPr>
                <w:kern w:val="0"/>
                <w:sz w:val="20"/>
                <w:szCs w:val="20"/>
              </w:rPr>
              <w:t>31.38</w:t>
            </w:r>
          </w:p>
        </w:tc>
        <w:tc>
          <w:tcPr>
            <w:tcW w:w="244" w:type="pct"/>
            <w:shd w:val="clear" w:color="000000" w:fill="FFFFFF"/>
            <w:noWrap/>
            <w:vAlign w:val="center"/>
          </w:tcPr>
          <w:p>
            <w:pPr>
              <w:widowControl/>
              <w:jc w:val="left"/>
              <w:rPr>
                <w:kern w:val="0"/>
                <w:sz w:val="20"/>
                <w:szCs w:val="20"/>
              </w:rPr>
            </w:pPr>
            <w:r>
              <w:rPr>
                <w:kern w:val="0"/>
                <w:sz w:val="20"/>
                <w:szCs w:val="20"/>
              </w:rPr>
              <w:t>30211</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差旅费</w:t>
            </w:r>
          </w:p>
        </w:tc>
        <w:tc>
          <w:tcPr>
            <w:tcW w:w="347" w:type="pct"/>
            <w:shd w:val="clear" w:color="000000" w:fill="FFFFFF"/>
            <w:noWrap/>
            <w:vAlign w:val="center"/>
          </w:tcPr>
          <w:p>
            <w:pPr>
              <w:widowControl/>
              <w:jc w:val="right"/>
              <w:rPr>
                <w:kern w:val="0"/>
                <w:sz w:val="20"/>
                <w:szCs w:val="20"/>
              </w:rPr>
            </w:pPr>
            <w:r>
              <w:rPr>
                <w:kern w:val="0"/>
                <w:sz w:val="20"/>
                <w:szCs w:val="20"/>
              </w:rPr>
              <w:t>93.28</w:t>
            </w:r>
          </w:p>
        </w:tc>
        <w:tc>
          <w:tcPr>
            <w:tcW w:w="244" w:type="pct"/>
            <w:shd w:val="clear" w:color="000000" w:fill="FFFFFF"/>
            <w:noWrap/>
            <w:vAlign w:val="center"/>
          </w:tcPr>
          <w:p>
            <w:pPr>
              <w:widowControl/>
              <w:jc w:val="left"/>
              <w:rPr>
                <w:kern w:val="0"/>
                <w:sz w:val="20"/>
                <w:szCs w:val="20"/>
              </w:rPr>
            </w:pPr>
            <w:r>
              <w:rPr>
                <w:kern w:val="0"/>
                <w:sz w:val="20"/>
                <w:szCs w:val="20"/>
              </w:rPr>
              <w:t>31008</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物资储备</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30113</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住房公积金</w:t>
            </w:r>
          </w:p>
        </w:tc>
        <w:tc>
          <w:tcPr>
            <w:tcW w:w="347" w:type="pct"/>
            <w:shd w:val="clear" w:color="000000" w:fill="FFFFFF"/>
            <w:noWrap/>
            <w:vAlign w:val="center"/>
          </w:tcPr>
          <w:p>
            <w:pPr>
              <w:widowControl/>
              <w:jc w:val="right"/>
              <w:rPr>
                <w:kern w:val="0"/>
                <w:sz w:val="20"/>
                <w:szCs w:val="20"/>
              </w:rPr>
            </w:pPr>
            <w:r>
              <w:rPr>
                <w:kern w:val="0"/>
                <w:sz w:val="20"/>
                <w:szCs w:val="20"/>
              </w:rPr>
              <w:t>359.04</w:t>
            </w:r>
          </w:p>
        </w:tc>
        <w:tc>
          <w:tcPr>
            <w:tcW w:w="244" w:type="pct"/>
            <w:shd w:val="clear" w:color="000000" w:fill="FFFFFF"/>
            <w:noWrap/>
            <w:vAlign w:val="center"/>
          </w:tcPr>
          <w:p>
            <w:pPr>
              <w:widowControl/>
              <w:jc w:val="left"/>
              <w:rPr>
                <w:kern w:val="0"/>
                <w:sz w:val="20"/>
                <w:szCs w:val="20"/>
              </w:rPr>
            </w:pPr>
            <w:r>
              <w:rPr>
                <w:kern w:val="0"/>
                <w:sz w:val="20"/>
                <w:szCs w:val="20"/>
              </w:rPr>
              <w:t>30212</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因公出国（境）费用</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31009</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土地补偿</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30114</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医疗费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30213</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维修（护）费</w:t>
            </w:r>
          </w:p>
        </w:tc>
        <w:tc>
          <w:tcPr>
            <w:tcW w:w="347" w:type="pct"/>
            <w:shd w:val="clear" w:color="000000" w:fill="FFFFFF"/>
            <w:noWrap/>
            <w:vAlign w:val="center"/>
          </w:tcPr>
          <w:p>
            <w:pPr>
              <w:widowControl/>
              <w:jc w:val="right"/>
              <w:rPr>
                <w:kern w:val="0"/>
                <w:sz w:val="20"/>
                <w:szCs w:val="20"/>
              </w:rPr>
            </w:pPr>
            <w:r>
              <w:rPr>
                <w:kern w:val="0"/>
                <w:sz w:val="20"/>
                <w:szCs w:val="20"/>
              </w:rPr>
              <w:t>188.27</w:t>
            </w:r>
          </w:p>
        </w:tc>
        <w:tc>
          <w:tcPr>
            <w:tcW w:w="244" w:type="pct"/>
            <w:shd w:val="clear" w:color="000000" w:fill="FFFFFF"/>
            <w:noWrap/>
            <w:vAlign w:val="center"/>
          </w:tcPr>
          <w:p>
            <w:pPr>
              <w:widowControl/>
              <w:jc w:val="left"/>
              <w:rPr>
                <w:kern w:val="0"/>
                <w:sz w:val="20"/>
                <w:szCs w:val="20"/>
              </w:rPr>
            </w:pPr>
            <w:r>
              <w:rPr>
                <w:kern w:val="0"/>
                <w:sz w:val="20"/>
                <w:szCs w:val="20"/>
              </w:rPr>
              <w:t>31010</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安置补助</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30199</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其他工资福利支出</w:t>
            </w:r>
          </w:p>
        </w:tc>
        <w:tc>
          <w:tcPr>
            <w:tcW w:w="347" w:type="pct"/>
            <w:shd w:val="clear" w:color="000000" w:fill="FFFFFF"/>
            <w:noWrap/>
            <w:vAlign w:val="center"/>
          </w:tcPr>
          <w:p>
            <w:pPr>
              <w:widowControl/>
              <w:jc w:val="right"/>
              <w:rPr>
                <w:kern w:val="0"/>
                <w:sz w:val="20"/>
                <w:szCs w:val="20"/>
              </w:rPr>
            </w:pPr>
            <w:r>
              <w:rPr>
                <w:kern w:val="0"/>
                <w:sz w:val="20"/>
                <w:szCs w:val="20"/>
              </w:rPr>
              <w:t>134.78</w:t>
            </w:r>
          </w:p>
        </w:tc>
        <w:tc>
          <w:tcPr>
            <w:tcW w:w="244" w:type="pct"/>
            <w:shd w:val="clear" w:color="000000" w:fill="FFFFFF"/>
            <w:noWrap/>
            <w:vAlign w:val="center"/>
          </w:tcPr>
          <w:p>
            <w:pPr>
              <w:widowControl/>
              <w:jc w:val="left"/>
              <w:rPr>
                <w:kern w:val="0"/>
                <w:sz w:val="20"/>
                <w:szCs w:val="20"/>
              </w:rPr>
            </w:pPr>
            <w:r>
              <w:rPr>
                <w:kern w:val="0"/>
                <w:sz w:val="20"/>
                <w:szCs w:val="20"/>
              </w:rPr>
              <w:t>30214</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租赁费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31011</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地上附着物和青苗补偿</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w:t>
            </w:r>
          </w:p>
        </w:tc>
        <w:tc>
          <w:tcPr>
            <w:tcW w:w="1099" w:type="pct"/>
            <w:shd w:val="clear" w:color="000000" w:fill="FFFFFF"/>
            <w:noWrap/>
            <w:vAlign w:val="center"/>
          </w:tcPr>
          <w:p>
            <w:pPr>
              <w:widowControl/>
              <w:jc w:val="left"/>
              <w:rPr>
                <w:kern w:val="0"/>
                <w:sz w:val="20"/>
                <w:szCs w:val="20"/>
              </w:rPr>
            </w:pPr>
            <w:r>
              <w:rPr>
                <w:rFonts w:hint="eastAsia" w:cs="宋体"/>
                <w:kern w:val="0"/>
                <w:sz w:val="20"/>
                <w:szCs w:val="20"/>
              </w:rPr>
              <w:t>对个人和家庭的补助</w:t>
            </w:r>
          </w:p>
        </w:tc>
        <w:tc>
          <w:tcPr>
            <w:tcW w:w="347" w:type="pct"/>
            <w:shd w:val="clear" w:color="000000" w:fill="FFFFFF"/>
            <w:noWrap/>
            <w:vAlign w:val="center"/>
          </w:tcPr>
          <w:p>
            <w:pPr>
              <w:widowControl/>
              <w:jc w:val="right"/>
              <w:rPr>
                <w:kern w:val="0"/>
                <w:sz w:val="20"/>
                <w:szCs w:val="20"/>
              </w:rPr>
            </w:pPr>
            <w:r>
              <w:rPr>
                <w:kern w:val="0"/>
                <w:sz w:val="20"/>
                <w:szCs w:val="20"/>
              </w:rPr>
              <w:t>1,375.40</w:t>
            </w:r>
          </w:p>
        </w:tc>
        <w:tc>
          <w:tcPr>
            <w:tcW w:w="244" w:type="pct"/>
            <w:shd w:val="clear" w:color="000000" w:fill="FFFFFF"/>
            <w:noWrap/>
            <w:vAlign w:val="center"/>
          </w:tcPr>
          <w:p>
            <w:pPr>
              <w:widowControl/>
              <w:jc w:val="left"/>
              <w:rPr>
                <w:kern w:val="0"/>
                <w:sz w:val="20"/>
                <w:szCs w:val="20"/>
              </w:rPr>
            </w:pPr>
            <w:r>
              <w:rPr>
                <w:kern w:val="0"/>
                <w:sz w:val="20"/>
                <w:szCs w:val="20"/>
              </w:rPr>
              <w:t>30215</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会议费</w:t>
            </w:r>
          </w:p>
        </w:tc>
        <w:tc>
          <w:tcPr>
            <w:tcW w:w="347" w:type="pct"/>
            <w:shd w:val="clear" w:color="000000" w:fill="FFFFFF"/>
            <w:noWrap/>
            <w:vAlign w:val="center"/>
          </w:tcPr>
          <w:p>
            <w:pPr>
              <w:widowControl/>
              <w:jc w:val="right"/>
              <w:rPr>
                <w:kern w:val="0"/>
                <w:sz w:val="20"/>
                <w:szCs w:val="20"/>
              </w:rPr>
            </w:pPr>
            <w:r>
              <w:rPr>
                <w:kern w:val="0"/>
                <w:sz w:val="20"/>
                <w:szCs w:val="20"/>
              </w:rPr>
              <w:t>27.48</w:t>
            </w:r>
          </w:p>
        </w:tc>
        <w:tc>
          <w:tcPr>
            <w:tcW w:w="244" w:type="pct"/>
            <w:shd w:val="clear" w:color="000000" w:fill="FFFFFF"/>
            <w:noWrap/>
            <w:vAlign w:val="center"/>
          </w:tcPr>
          <w:p>
            <w:pPr>
              <w:widowControl/>
              <w:jc w:val="left"/>
              <w:rPr>
                <w:kern w:val="0"/>
                <w:sz w:val="20"/>
                <w:szCs w:val="20"/>
              </w:rPr>
            </w:pPr>
            <w:r>
              <w:rPr>
                <w:kern w:val="0"/>
                <w:sz w:val="20"/>
                <w:szCs w:val="20"/>
              </w:rPr>
              <w:t>31012</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拆迁补偿</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30301</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离休费</w:t>
            </w:r>
          </w:p>
        </w:tc>
        <w:tc>
          <w:tcPr>
            <w:tcW w:w="347" w:type="pct"/>
            <w:shd w:val="clear" w:color="000000" w:fill="FFFFFF"/>
            <w:noWrap/>
            <w:vAlign w:val="center"/>
          </w:tcPr>
          <w:p>
            <w:pPr>
              <w:widowControl/>
              <w:jc w:val="right"/>
              <w:rPr>
                <w:kern w:val="0"/>
                <w:sz w:val="20"/>
                <w:szCs w:val="20"/>
              </w:rPr>
            </w:pPr>
            <w:r>
              <w:rPr>
                <w:kern w:val="0"/>
                <w:sz w:val="20"/>
                <w:szCs w:val="20"/>
              </w:rPr>
              <w:t>81.39</w:t>
            </w:r>
          </w:p>
        </w:tc>
        <w:tc>
          <w:tcPr>
            <w:tcW w:w="244" w:type="pct"/>
            <w:shd w:val="clear" w:color="000000" w:fill="FFFFFF"/>
            <w:noWrap/>
            <w:vAlign w:val="center"/>
          </w:tcPr>
          <w:p>
            <w:pPr>
              <w:widowControl/>
              <w:jc w:val="left"/>
              <w:rPr>
                <w:kern w:val="0"/>
                <w:sz w:val="20"/>
                <w:szCs w:val="20"/>
              </w:rPr>
            </w:pPr>
            <w:r>
              <w:rPr>
                <w:kern w:val="0"/>
                <w:sz w:val="20"/>
                <w:szCs w:val="20"/>
              </w:rPr>
              <w:t>30216</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培训费</w:t>
            </w:r>
          </w:p>
        </w:tc>
        <w:tc>
          <w:tcPr>
            <w:tcW w:w="347" w:type="pct"/>
            <w:shd w:val="clear" w:color="000000" w:fill="FFFFFF"/>
            <w:noWrap/>
            <w:vAlign w:val="center"/>
          </w:tcPr>
          <w:p>
            <w:pPr>
              <w:widowControl/>
              <w:jc w:val="right"/>
              <w:rPr>
                <w:kern w:val="0"/>
                <w:sz w:val="20"/>
                <w:szCs w:val="20"/>
              </w:rPr>
            </w:pPr>
            <w:r>
              <w:rPr>
                <w:kern w:val="0"/>
                <w:sz w:val="20"/>
                <w:szCs w:val="20"/>
              </w:rPr>
              <w:t>98.61</w:t>
            </w:r>
          </w:p>
        </w:tc>
        <w:tc>
          <w:tcPr>
            <w:tcW w:w="244" w:type="pct"/>
            <w:shd w:val="clear" w:color="000000" w:fill="FFFFFF"/>
            <w:noWrap/>
            <w:vAlign w:val="center"/>
          </w:tcPr>
          <w:p>
            <w:pPr>
              <w:widowControl/>
              <w:jc w:val="left"/>
              <w:rPr>
                <w:kern w:val="0"/>
                <w:sz w:val="20"/>
                <w:szCs w:val="20"/>
              </w:rPr>
            </w:pPr>
            <w:r>
              <w:rPr>
                <w:kern w:val="0"/>
                <w:sz w:val="20"/>
                <w:szCs w:val="20"/>
              </w:rPr>
              <w:t>31013</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公务用车购置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30302</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退休费</w:t>
            </w:r>
          </w:p>
        </w:tc>
        <w:tc>
          <w:tcPr>
            <w:tcW w:w="347" w:type="pct"/>
            <w:shd w:val="clear" w:color="000000" w:fill="FFFFFF"/>
            <w:noWrap/>
            <w:vAlign w:val="center"/>
          </w:tcPr>
          <w:p>
            <w:pPr>
              <w:widowControl/>
              <w:jc w:val="right"/>
              <w:rPr>
                <w:kern w:val="0"/>
                <w:sz w:val="20"/>
                <w:szCs w:val="20"/>
              </w:rPr>
            </w:pPr>
            <w:r>
              <w:rPr>
                <w:kern w:val="0"/>
                <w:sz w:val="20"/>
                <w:szCs w:val="20"/>
              </w:rPr>
              <w:t>75.00</w:t>
            </w:r>
          </w:p>
        </w:tc>
        <w:tc>
          <w:tcPr>
            <w:tcW w:w="244" w:type="pct"/>
            <w:shd w:val="clear" w:color="000000" w:fill="FFFFFF"/>
            <w:noWrap/>
            <w:vAlign w:val="center"/>
          </w:tcPr>
          <w:p>
            <w:pPr>
              <w:widowControl/>
              <w:jc w:val="left"/>
              <w:rPr>
                <w:kern w:val="0"/>
                <w:sz w:val="20"/>
                <w:szCs w:val="20"/>
              </w:rPr>
            </w:pPr>
            <w:r>
              <w:rPr>
                <w:kern w:val="0"/>
                <w:sz w:val="20"/>
                <w:szCs w:val="20"/>
              </w:rPr>
              <w:t>30217</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公务接待费</w:t>
            </w:r>
          </w:p>
        </w:tc>
        <w:tc>
          <w:tcPr>
            <w:tcW w:w="347" w:type="pct"/>
            <w:shd w:val="clear" w:color="000000" w:fill="FFFFFF"/>
            <w:noWrap/>
            <w:vAlign w:val="center"/>
          </w:tcPr>
          <w:p>
            <w:pPr>
              <w:widowControl/>
              <w:jc w:val="right"/>
              <w:rPr>
                <w:kern w:val="0"/>
                <w:sz w:val="20"/>
                <w:szCs w:val="20"/>
              </w:rPr>
            </w:pPr>
            <w:r>
              <w:rPr>
                <w:kern w:val="0"/>
                <w:sz w:val="20"/>
                <w:szCs w:val="20"/>
              </w:rPr>
              <w:t>12.34</w:t>
            </w:r>
          </w:p>
        </w:tc>
        <w:tc>
          <w:tcPr>
            <w:tcW w:w="244" w:type="pct"/>
            <w:shd w:val="clear" w:color="000000" w:fill="FFFFFF"/>
            <w:noWrap/>
            <w:vAlign w:val="center"/>
          </w:tcPr>
          <w:p>
            <w:pPr>
              <w:widowControl/>
              <w:jc w:val="left"/>
              <w:rPr>
                <w:kern w:val="0"/>
                <w:sz w:val="20"/>
                <w:szCs w:val="20"/>
              </w:rPr>
            </w:pPr>
            <w:r>
              <w:rPr>
                <w:kern w:val="0"/>
                <w:sz w:val="20"/>
                <w:szCs w:val="20"/>
              </w:rPr>
              <w:t>31019</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其他交通工具购置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30303</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退职（役）费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30218</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专用材料费</w:t>
            </w:r>
          </w:p>
        </w:tc>
        <w:tc>
          <w:tcPr>
            <w:tcW w:w="347" w:type="pct"/>
            <w:shd w:val="clear" w:color="000000" w:fill="FFFFFF"/>
            <w:noWrap/>
            <w:vAlign w:val="center"/>
          </w:tcPr>
          <w:p>
            <w:pPr>
              <w:widowControl/>
              <w:jc w:val="right"/>
              <w:rPr>
                <w:kern w:val="0"/>
                <w:sz w:val="20"/>
                <w:szCs w:val="20"/>
              </w:rPr>
            </w:pPr>
            <w:r>
              <w:rPr>
                <w:kern w:val="0"/>
                <w:sz w:val="20"/>
                <w:szCs w:val="20"/>
              </w:rPr>
              <w:t>19.25</w:t>
            </w:r>
          </w:p>
        </w:tc>
        <w:tc>
          <w:tcPr>
            <w:tcW w:w="244" w:type="pct"/>
            <w:shd w:val="clear" w:color="000000" w:fill="FFFFFF"/>
            <w:noWrap/>
            <w:vAlign w:val="center"/>
          </w:tcPr>
          <w:p>
            <w:pPr>
              <w:widowControl/>
              <w:jc w:val="left"/>
              <w:rPr>
                <w:kern w:val="0"/>
                <w:sz w:val="20"/>
                <w:szCs w:val="20"/>
              </w:rPr>
            </w:pPr>
            <w:r>
              <w:rPr>
                <w:kern w:val="0"/>
                <w:sz w:val="20"/>
                <w:szCs w:val="20"/>
              </w:rPr>
              <w:t>31021</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文物和陈列品购置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30304</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抚恤金</w:t>
            </w:r>
          </w:p>
        </w:tc>
        <w:tc>
          <w:tcPr>
            <w:tcW w:w="347" w:type="pct"/>
            <w:shd w:val="clear" w:color="000000" w:fill="FFFFFF"/>
            <w:noWrap/>
            <w:vAlign w:val="center"/>
          </w:tcPr>
          <w:p>
            <w:pPr>
              <w:widowControl/>
              <w:jc w:val="right"/>
              <w:rPr>
                <w:kern w:val="0"/>
                <w:sz w:val="20"/>
                <w:szCs w:val="20"/>
              </w:rPr>
            </w:pPr>
            <w:r>
              <w:rPr>
                <w:kern w:val="0"/>
                <w:sz w:val="20"/>
                <w:szCs w:val="20"/>
              </w:rPr>
              <w:t>130.00</w:t>
            </w:r>
          </w:p>
        </w:tc>
        <w:tc>
          <w:tcPr>
            <w:tcW w:w="244" w:type="pct"/>
            <w:shd w:val="clear" w:color="000000" w:fill="FFFFFF"/>
            <w:noWrap/>
            <w:vAlign w:val="center"/>
          </w:tcPr>
          <w:p>
            <w:pPr>
              <w:widowControl/>
              <w:jc w:val="left"/>
              <w:rPr>
                <w:kern w:val="0"/>
                <w:sz w:val="20"/>
                <w:szCs w:val="20"/>
              </w:rPr>
            </w:pPr>
            <w:r>
              <w:rPr>
                <w:kern w:val="0"/>
                <w:sz w:val="20"/>
                <w:szCs w:val="20"/>
              </w:rPr>
              <w:t>30224</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被装购置费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31022</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无形资产购置</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30305</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生活补助</w:t>
            </w:r>
          </w:p>
        </w:tc>
        <w:tc>
          <w:tcPr>
            <w:tcW w:w="347" w:type="pct"/>
            <w:shd w:val="clear" w:color="000000" w:fill="FFFFFF"/>
            <w:noWrap/>
            <w:vAlign w:val="center"/>
          </w:tcPr>
          <w:p>
            <w:pPr>
              <w:widowControl/>
              <w:jc w:val="right"/>
              <w:rPr>
                <w:kern w:val="0"/>
                <w:sz w:val="20"/>
                <w:szCs w:val="20"/>
              </w:rPr>
            </w:pPr>
            <w:r>
              <w:rPr>
                <w:kern w:val="0"/>
                <w:sz w:val="20"/>
                <w:szCs w:val="20"/>
              </w:rPr>
              <w:t>10.00</w:t>
            </w:r>
          </w:p>
        </w:tc>
        <w:tc>
          <w:tcPr>
            <w:tcW w:w="244" w:type="pct"/>
            <w:shd w:val="clear" w:color="000000" w:fill="FFFFFF"/>
            <w:noWrap/>
            <w:vAlign w:val="center"/>
          </w:tcPr>
          <w:p>
            <w:pPr>
              <w:widowControl/>
              <w:jc w:val="left"/>
              <w:rPr>
                <w:kern w:val="0"/>
                <w:sz w:val="20"/>
                <w:szCs w:val="20"/>
              </w:rPr>
            </w:pPr>
            <w:r>
              <w:rPr>
                <w:kern w:val="0"/>
                <w:sz w:val="20"/>
                <w:szCs w:val="20"/>
              </w:rPr>
              <w:t>30225</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专用燃料费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31099</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其他资本性支出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30306</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救济费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30226</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劳务费</w:t>
            </w:r>
          </w:p>
        </w:tc>
        <w:tc>
          <w:tcPr>
            <w:tcW w:w="347" w:type="pct"/>
            <w:shd w:val="clear" w:color="000000" w:fill="FFFFFF"/>
            <w:noWrap/>
            <w:vAlign w:val="center"/>
          </w:tcPr>
          <w:p>
            <w:pPr>
              <w:widowControl/>
              <w:jc w:val="right"/>
              <w:rPr>
                <w:kern w:val="0"/>
                <w:sz w:val="20"/>
                <w:szCs w:val="20"/>
              </w:rPr>
            </w:pPr>
            <w:r>
              <w:rPr>
                <w:kern w:val="0"/>
                <w:sz w:val="20"/>
                <w:szCs w:val="20"/>
              </w:rPr>
              <w:t>60.30</w:t>
            </w:r>
          </w:p>
        </w:tc>
        <w:tc>
          <w:tcPr>
            <w:tcW w:w="244" w:type="pct"/>
            <w:shd w:val="clear" w:color="000000" w:fill="FFFFFF"/>
            <w:noWrap/>
            <w:vAlign w:val="center"/>
          </w:tcPr>
          <w:p>
            <w:pPr>
              <w:widowControl/>
              <w:jc w:val="left"/>
              <w:rPr>
                <w:kern w:val="0"/>
                <w:sz w:val="20"/>
                <w:szCs w:val="20"/>
              </w:rPr>
            </w:pPr>
            <w:r>
              <w:rPr>
                <w:kern w:val="0"/>
                <w:sz w:val="20"/>
                <w:szCs w:val="20"/>
              </w:rPr>
              <w:t>399</w:t>
            </w:r>
          </w:p>
        </w:tc>
        <w:tc>
          <w:tcPr>
            <w:tcW w:w="1372" w:type="pct"/>
            <w:shd w:val="clear" w:color="000000" w:fill="FFFFFF"/>
            <w:noWrap/>
            <w:vAlign w:val="center"/>
          </w:tcPr>
          <w:p>
            <w:pPr>
              <w:widowControl/>
              <w:jc w:val="left"/>
              <w:rPr>
                <w:kern w:val="0"/>
                <w:sz w:val="20"/>
                <w:szCs w:val="20"/>
              </w:rPr>
            </w:pPr>
            <w:r>
              <w:rPr>
                <w:rFonts w:hint="eastAsia" w:cs="宋体"/>
                <w:kern w:val="0"/>
                <w:sz w:val="20"/>
                <w:szCs w:val="20"/>
              </w:rPr>
              <w:t>其他支出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30307</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医疗费补助</w:t>
            </w:r>
          </w:p>
        </w:tc>
        <w:tc>
          <w:tcPr>
            <w:tcW w:w="347" w:type="pct"/>
            <w:shd w:val="clear" w:color="000000" w:fill="FFFFFF"/>
            <w:noWrap/>
            <w:vAlign w:val="center"/>
          </w:tcPr>
          <w:p>
            <w:pPr>
              <w:widowControl/>
              <w:jc w:val="right"/>
              <w:rPr>
                <w:kern w:val="0"/>
                <w:sz w:val="20"/>
                <w:szCs w:val="20"/>
              </w:rPr>
            </w:pPr>
            <w:r>
              <w:rPr>
                <w:kern w:val="0"/>
                <w:sz w:val="20"/>
                <w:szCs w:val="20"/>
              </w:rPr>
              <w:t>133.14</w:t>
            </w:r>
          </w:p>
        </w:tc>
        <w:tc>
          <w:tcPr>
            <w:tcW w:w="244" w:type="pct"/>
            <w:shd w:val="clear" w:color="000000" w:fill="FFFFFF"/>
            <w:noWrap/>
            <w:vAlign w:val="center"/>
          </w:tcPr>
          <w:p>
            <w:pPr>
              <w:widowControl/>
              <w:jc w:val="left"/>
              <w:rPr>
                <w:kern w:val="0"/>
                <w:sz w:val="20"/>
                <w:szCs w:val="20"/>
              </w:rPr>
            </w:pPr>
            <w:r>
              <w:rPr>
                <w:kern w:val="0"/>
                <w:sz w:val="20"/>
                <w:szCs w:val="20"/>
              </w:rPr>
              <w:t>30227</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委托业务费</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39906</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赠与</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30308</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助学金</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30228</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工会经费</w:t>
            </w:r>
          </w:p>
        </w:tc>
        <w:tc>
          <w:tcPr>
            <w:tcW w:w="347" w:type="pct"/>
            <w:shd w:val="clear" w:color="000000" w:fill="FFFFFF"/>
            <w:noWrap/>
            <w:vAlign w:val="center"/>
          </w:tcPr>
          <w:p>
            <w:pPr>
              <w:widowControl/>
              <w:jc w:val="right"/>
              <w:rPr>
                <w:kern w:val="0"/>
                <w:sz w:val="20"/>
                <w:szCs w:val="20"/>
              </w:rPr>
            </w:pPr>
            <w:r>
              <w:rPr>
                <w:kern w:val="0"/>
                <w:sz w:val="20"/>
                <w:szCs w:val="20"/>
              </w:rPr>
              <w:t>45.20</w:t>
            </w:r>
          </w:p>
        </w:tc>
        <w:tc>
          <w:tcPr>
            <w:tcW w:w="244" w:type="pct"/>
            <w:shd w:val="clear" w:color="000000" w:fill="FFFFFF"/>
            <w:noWrap/>
            <w:vAlign w:val="center"/>
          </w:tcPr>
          <w:p>
            <w:pPr>
              <w:widowControl/>
              <w:jc w:val="left"/>
              <w:rPr>
                <w:kern w:val="0"/>
                <w:sz w:val="20"/>
                <w:szCs w:val="20"/>
              </w:rPr>
            </w:pPr>
            <w:r>
              <w:rPr>
                <w:kern w:val="0"/>
                <w:sz w:val="20"/>
                <w:szCs w:val="20"/>
              </w:rPr>
              <w:t>39907</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国家赔偿费用支出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30309</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奖励金</w:t>
            </w:r>
          </w:p>
        </w:tc>
        <w:tc>
          <w:tcPr>
            <w:tcW w:w="347" w:type="pct"/>
            <w:shd w:val="clear" w:color="000000" w:fill="FFFFFF"/>
            <w:noWrap/>
            <w:vAlign w:val="center"/>
          </w:tcPr>
          <w:p>
            <w:pPr>
              <w:widowControl/>
              <w:jc w:val="right"/>
              <w:rPr>
                <w:kern w:val="0"/>
                <w:sz w:val="20"/>
                <w:szCs w:val="20"/>
              </w:rPr>
            </w:pPr>
            <w:r>
              <w:rPr>
                <w:kern w:val="0"/>
                <w:sz w:val="20"/>
                <w:szCs w:val="20"/>
              </w:rPr>
              <w:t>791.86</w:t>
            </w:r>
          </w:p>
        </w:tc>
        <w:tc>
          <w:tcPr>
            <w:tcW w:w="244" w:type="pct"/>
            <w:shd w:val="clear" w:color="000000" w:fill="FFFFFF"/>
            <w:noWrap/>
            <w:vAlign w:val="center"/>
          </w:tcPr>
          <w:p>
            <w:pPr>
              <w:widowControl/>
              <w:jc w:val="left"/>
              <w:rPr>
                <w:kern w:val="0"/>
                <w:sz w:val="20"/>
                <w:szCs w:val="20"/>
              </w:rPr>
            </w:pPr>
            <w:r>
              <w:rPr>
                <w:kern w:val="0"/>
                <w:sz w:val="20"/>
                <w:szCs w:val="20"/>
              </w:rPr>
              <w:t>30229</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福利费</w:t>
            </w:r>
          </w:p>
        </w:tc>
        <w:tc>
          <w:tcPr>
            <w:tcW w:w="347" w:type="pct"/>
            <w:shd w:val="clear" w:color="000000" w:fill="FFFFFF"/>
            <w:noWrap/>
            <w:vAlign w:val="center"/>
          </w:tcPr>
          <w:p>
            <w:pPr>
              <w:widowControl/>
              <w:jc w:val="right"/>
              <w:rPr>
                <w:kern w:val="0"/>
                <w:sz w:val="20"/>
                <w:szCs w:val="20"/>
              </w:rPr>
            </w:pPr>
            <w:r>
              <w:rPr>
                <w:kern w:val="0"/>
                <w:sz w:val="20"/>
                <w:szCs w:val="20"/>
              </w:rPr>
              <w:t>46.48</w:t>
            </w:r>
          </w:p>
        </w:tc>
        <w:tc>
          <w:tcPr>
            <w:tcW w:w="244" w:type="pct"/>
            <w:shd w:val="clear" w:color="000000" w:fill="FFFFFF"/>
            <w:noWrap/>
            <w:vAlign w:val="center"/>
          </w:tcPr>
          <w:p>
            <w:pPr>
              <w:widowControl/>
              <w:jc w:val="left"/>
              <w:rPr>
                <w:kern w:val="0"/>
                <w:sz w:val="20"/>
                <w:szCs w:val="20"/>
              </w:rPr>
            </w:pPr>
            <w:r>
              <w:rPr>
                <w:kern w:val="0"/>
                <w:sz w:val="20"/>
                <w:szCs w:val="20"/>
              </w:rPr>
              <w:t>39908</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对民间非营利组织和群众性自治组织补贴</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30310</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个人农业生产补贴</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kern w:val="0"/>
                <w:sz w:val="20"/>
                <w:szCs w:val="20"/>
              </w:rPr>
              <w:t>30231</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公务用车运行维护费</w:t>
            </w:r>
          </w:p>
        </w:tc>
        <w:tc>
          <w:tcPr>
            <w:tcW w:w="347" w:type="pct"/>
            <w:shd w:val="clear" w:color="000000" w:fill="FFFFFF"/>
            <w:noWrap/>
            <w:vAlign w:val="center"/>
          </w:tcPr>
          <w:p>
            <w:pPr>
              <w:widowControl/>
              <w:jc w:val="right"/>
              <w:rPr>
                <w:kern w:val="0"/>
                <w:sz w:val="20"/>
                <w:szCs w:val="20"/>
              </w:rPr>
            </w:pPr>
            <w:r>
              <w:rPr>
                <w:kern w:val="0"/>
                <w:sz w:val="20"/>
                <w:szCs w:val="20"/>
              </w:rPr>
              <w:t>125.96</w:t>
            </w:r>
          </w:p>
        </w:tc>
        <w:tc>
          <w:tcPr>
            <w:tcW w:w="244" w:type="pct"/>
            <w:shd w:val="clear" w:color="000000" w:fill="FFFFFF"/>
            <w:noWrap/>
            <w:vAlign w:val="center"/>
          </w:tcPr>
          <w:p>
            <w:pPr>
              <w:widowControl/>
              <w:jc w:val="left"/>
              <w:rPr>
                <w:kern w:val="0"/>
                <w:sz w:val="20"/>
                <w:szCs w:val="20"/>
              </w:rPr>
            </w:pPr>
            <w:r>
              <w:rPr>
                <w:kern w:val="0"/>
                <w:sz w:val="20"/>
                <w:szCs w:val="20"/>
              </w:rPr>
              <w:t>39999</w:t>
            </w:r>
          </w:p>
        </w:tc>
        <w:tc>
          <w:tcPr>
            <w:tcW w:w="1372"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其他支出</w:t>
            </w:r>
          </w:p>
        </w:tc>
        <w:tc>
          <w:tcPr>
            <w:tcW w:w="346" w:type="pct"/>
            <w:shd w:val="clear" w:color="000000" w:fill="FFFFFF"/>
            <w:noWrap/>
            <w:vAlign w:val="center"/>
          </w:tcPr>
          <w:p>
            <w:pPr>
              <w:widowControl/>
              <w:jc w:val="right"/>
              <w:rPr>
                <w:kern w:val="0"/>
                <w:sz w:val="20"/>
                <w:szCs w:val="20"/>
              </w:rPr>
            </w:pPr>
            <w:r>
              <w:rPr>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kern w:val="0"/>
                <w:sz w:val="20"/>
                <w:szCs w:val="20"/>
              </w:rPr>
              <w:t>30399</w:t>
            </w:r>
          </w:p>
        </w:tc>
        <w:tc>
          <w:tcPr>
            <w:tcW w:w="1099"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其他对个人和家庭的补助支出</w:t>
            </w:r>
          </w:p>
        </w:tc>
        <w:tc>
          <w:tcPr>
            <w:tcW w:w="347" w:type="pct"/>
            <w:shd w:val="clear" w:color="000000" w:fill="FFFFFF"/>
            <w:noWrap/>
            <w:vAlign w:val="center"/>
          </w:tcPr>
          <w:p>
            <w:pPr>
              <w:widowControl/>
              <w:jc w:val="right"/>
              <w:rPr>
                <w:kern w:val="0"/>
                <w:sz w:val="20"/>
                <w:szCs w:val="20"/>
              </w:rPr>
            </w:pPr>
            <w:r>
              <w:rPr>
                <w:kern w:val="0"/>
                <w:sz w:val="20"/>
                <w:szCs w:val="20"/>
              </w:rPr>
              <w:t>154.02</w:t>
            </w:r>
          </w:p>
        </w:tc>
        <w:tc>
          <w:tcPr>
            <w:tcW w:w="244" w:type="pct"/>
            <w:shd w:val="clear" w:color="000000" w:fill="FFFFFF"/>
            <w:noWrap/>
            <w:vAlign w:val="center"/>
          </w:tcPr>
          <w:p>
            <w:pPr>
              <w:widowControl/>
              <w:jc w:val="left"/>
              <w:rPr>
                <w:kern w:val="0"/>
                <w:sz w:val="20"/>
                <w:szCs w:val="20"/>
              </w:rPr>
            </w:pPr>
            <w:r>
              <w:rPr>
                <w:kern w:val="0"/>
                <w:sz w:val="20"/>
                <w:szCs w:val="20"/>
              </w:rPr>
              <w:t>30239</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其他交通费用</w:t>
            </w:r>
          </w:p>
        </w:tc>
        <w:tc>
          <w:tcPr>
            <w:tcW w:w="347" w:type="pct"/>
            <w:shd w:val="clear" w:color="000000" w:fill="FFFFFF"/>
            <w:noWrap/>
            <w:vAlign w:val="center"/>
          </w:tcPr>
          <w:p>
            <w:pPr>
              <w:widowControl/>
              <w:jc w:val="right"/>
              <w:rPr>
                <w:kern w:val="0"/>
                <w:sz w:val="20"/>
                <w:szCs w:val="20"/>
              </w:rPr>
            </w:pPr>
            <w:r>
              <w:rPr>
                <w:kern w:val="0"/>
                <w:sz w:val="20"/>
                <w:szCs w:val="20"/>
              </w:rPr>
              <w:t>181.90</w:t>
            </w:r>
          </w:p>
        </w:tc>
        <w:tc>
          <w:tcPr>
            <w:tcW w:w="244"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1372"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346" w:type="pct"/>
            <w:shd w:val="clear" w:color="000000" w:fill="FFFFFF"/>
            <w:noWrap/>
            <w:vAlign w:val="center"/>
          </w:tcPr>
          <w:p>
            <w:pPr>
              <w:widowControl/>
              <w:jc w:val="right"/>
              <w:rPr>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1099"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347" w:type="pct"/>
            <w:shd w:val="clear" w:color="000000" w:fill="FFFFFF"/>
            <w:noWrap/>
            <w:vAlign w:val="center"/>
          </w:tcPr>
          <w:p>
            <w:pPr>
              <w:widowControl/>
              <w:jc w:val="right"/>
              <w:rPr>
                <w:kern w:val="0"/>
                <w:sz w:val="20"/>
                <w:szCs w:val="20"/>
              </w:rPr>
            </w:pPr>
            <w:r>
              <w:rPr>
                <w:rFonts w:hint="eastAsia" w:cs="宋体"/>
                <w:kern w:val="0"/>
                <w:sz w:val="20"/>
                <w:szCs w:val="20"/>
              </w:rPr>
              <w:t>　</w:t>
            </w:r>
          </w:p>
        </w:tc>
        <w:tc>
          <w:tcPr>
            <w:tcW w:w="244" w:type="pct"/>
            <w:shd w:val="clear" w:color="000000" w:fill="FFFFFF"/>
            <w:noWrap/>
            <w:vAlign w:val="center"/>
          </w:tcPr>
          <w:p>
            <w:pPr>
              <w:widowControl/>
              <w:jc w:val="left"/>
              <w:rPr>
                <w:kern w:val="0"/>
                <w:sz w:val="20"/>
                <w:szCs w:val="20"/>
              </w:rPr>
            </w:pPr>
            <w:r>
              <w:rPr>
                <w:kern w:val="0"/>
                <w:sz w:val="20"/>
                <w:szCs w:val="20"/>
              </w:rPr>
              <w:t>30240</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税金及附加费用</w:t>
            </w:r>
          </w:p>
        </w:tc>
        <w:tc>
          <w:tcPr>
            <w:tcW w:w="347" w:type="pct"/>
            <w:shd w:val="clear" w:color="000000" w:fill="FFFFFF"/>
            <w:noWrap/>
            <w:vAlign w:val="center"/>
          </w:tcPr>
          <w:p>
            <w:pPr>
              <w:widowControl/>
              <w:jc w:val="right"/>
              <w:rPr>
                <w:kern w:val="0"/>
                <w:sz w:val="20"/>
                <w:szCs w:val="20"/>
              </w:rPr>
            </w:pPr>
            <w:r>
              <w:rPr>
                <w:kern w:val="0"/>
                <w:sz w:val="20"/>
                <w:szCs w:val="20"/>
              </w:rPr>
              <w:t>0.00</w:t>
            </w:r>
          </w:p>
        </w:tc>
        <w:tc>
          <w:tcPr>
            <w:tcW w:w="244"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1372"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346" w:type="pct"/>
            <w:shd w:val="clear" w:color="000000" w:fill="FFFFFF"/>
            <w:noWrap/>
            <w:vAlign w:val="center"/>
          </w:tcPr>
          <w:p>
            <w:pPr>
              <w:widowControl/>
              <w:jc w:val="right"/>
              <w:rPr>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1099"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347" w:type="pct"/>
            <w:shd w:val="clear" w:color="000000" w:fill="FFFFFF"/>
            <w:noWrap/>
            <w:vAlign w:val="center"/>
          </w:tcPr>
          <w:p>
            <w:pPr>
              <w:widowControl/>
              <w:jc w:val="right"/>
              <w:rPr>
                <w:kern w:val="0"/>
                <w:sz w:val="20"/>
                <w:szCs w:val="20"/>
              </w:rPr>
            </w:pPr>
            <w:r>
              <w:rPr>
                <w:rFonts w:hint="eastAsia" w:cs="宋体"/>
                <w:kern w:val="0"/>
                <w:sz w:val="20"/>
                <w:szCs w:val="20"/>
              </w:rPr>
              <w:t>　</w:t>
            </w:r>
          </w:p>
        </w:tc>
        <w:tc>
          <w:tcPr>
            <w:tcW w:w="244" w:type="pct"/>
            <w:shd w:val="clear" w:color="000000" w:fill="FFFFFF"/>
            <w:noWrap/>
            <w:vAlign w:val="center"/>
          </w:tcPr>
          <w:p>
            <w:pPr>
              <w:widowControl/>
              <w:jc w:val="left"/>
              <w:rPr>
                <w:kern w:val="0"/>
                <w:sz w:val="20"/>
                <w:szCs w:val="20"/>
              </w:rPr>
            </w:pPr>
            <w:r>
              <w:rPr>
                <w:kern w:val="0"/>
                <w:sz w:val="20"/>
                <w:szCs w:val="20"/>
              </w:rPr>
              <w:t>30299</w:t>
            </w:r>
          </w:p>
        </w:tc>
        <w:tc>
          <w:tcPr>
            <w:tcW w:w="757" w:type="pct"/>
            <w:shd w:val="clear" w:color="000000" w:fill="FFFFFF"/>
            <w:noWrap/>
            <w:vAlign w:val="center"/>
          </w:tcPr>
          <w:p>
            <w:pPr>
              <w:widowControl/>
              <w:jc w:val="left"/>
              <w:rPr>
                <w:kern w:val="0"/>
                <w:sz w:val="20"/>
                <w:szCs w:val="20"/>
              </w:rPr>
            </w:pPr>
            <w:r>
              <w:rPr>
                <w:kern w:val="0"/>
                <w:sz w:val="20"/>
                <w:szCs w:val="20"/>
              </w:rPr>
              <w:t xml:space="preserve">  </w:t>
            </w:r>
            <w:r>
              <w:rPr>
                <w:rFonts w:hint="eastAsia" w:cs="宋体"/>
                <w:kern w:val="0"/>
                <w:sz w:val="20"/>
                <w:szCs w:val="20"/>
              </w:rPr>
              <w:t>其他商品和服务支出</w:t>
            </w:r>
          </w:p>
        </w:tc>
        <w:tc>
          <w:tcPr>
            <w:tcW w:w="347" w:type="pct"/>
            <w:shd w:val="clear" w:color="000000" w:fill="FFFFFF"/>
            <w:noWrap/>
            <w:vAlign w:val="center"/>
          </w:tcPr>
          <w:p>
            <w:pPr>
              <w:widowControl/>
              <w:jc w:val="right"/>
              <w:rPr>
                <w:kern w:val="0"/>
                <w:sz w:val="20"/>
                <w:szCs w:val="20"/>
              </w:rPr>
            </w:pPr>
            <w:r>
              <w:rPr>
                <w:kern w:val="0"/>
                <w:sz w:val="20"/>
                <w:szCs w:val="20"/>
              </w:rPr>
              <w:t>153.85</w:t>
            </w:r>
          </w:p>
        </w:tc>
        <w:tc>
          <w:tcPr>
            <w:tcW w:w="244"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1372" w:type="pct"/>
            <w:shd w:val="clear" w:color="000000" w:fill="FFFFFF"/>
            <w:noWrap/>
            <w:vAlign w:val="center"/>
          </w:tcPr>
          <w:p>
            <w:pPr>
              <w:widowControl/>
              <w:jc w:val="left"/>
              <w:rPr>
                <w:kern w:val="0"/>
                <w:sz w:val="20"/>
                <w:szCs w:val="20"/>
              </w:rPr>
            </w:pPr>
            <w:r>
              <w:rPr>
                <w:rFonts w:hint="eastAsia" w:cs="宋体"/>
                <w:kern w:val="0"/>
                <w:sz w:val="20"/>
                <w:szCs w:val="20"/>
              </w:rPr>
              <w:t>　</w:t>
            </w:r>
          </w:p>
        </w:tc>
        <w:tc>
          <w:tcPr>
            <w:tcW w:w="346" w:type="pct"/>
            <w:shd w:val="clear" w:color="000000" w:fill="FFFFFF"/>
            <w:noWrap/>
            <w:vAlign w:val="center"/>
          </w:tcPr>
          <w:p>
            <w:pPr>
              <w:widowControl/>
              <w:jc w:val="right"/>
              <w:rPr>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3" w:type="pct"/>
            <w:gridSpan w:val="2"/>
            <w:shd w:val="clear" w:color="000000" w:fill="FFFFFF"/>
            <w:noWrap/>
            <w:vAlign w:val="center"/>
          </w:tcPr>
          <w:p>
            <w:pPr>
              <w:widowControl/>
              <w:jc w:val="center"/>
              <w:rPr>
                <w:kern w:val="0"/>
                <w:sz w:val="20"/>
                <w:szCs w:val="20"/>
              </w:rPr>
            </w:pPr>
            <w:r>
              <w:rPr>
                <w:rFonts w:hint="eastAsia" w:cs="宋体"/>
                <w:kern w:val="0"/>
                <w:sz w:val="20"/>
                <w:szCs w:val="20"/>
              </w:rPr>
              <w:t>人员经费合计</w:t>
            </w:r>
          </w:p>
        </w:tc>
        <w:tc>
          <w:tcPr>
            <w:tcW w:w="347" w:type="pct"/>
            <w:shd w:val="clear" w:color="000000" w:fill="FFFFFF"/>
            <w:noWrap/>
            <w:vAlign w:val="center"/>
          </w:tcPr>
          <w:p>
            <w:pPr>
              <w:widowControl/>
              <w:jc w:val="right"/>
              <w:rPr>
                <w:kern w:val="0"/>
                <w:sz w:val="20"/>
                <w:szCs w:val="20"/>
              </w:rPr>
            </w:pPr>
            <w:r>
              <w:rPr>
                <w:kern w:val="0"/>
                <w:sz w:val="20"/>
                <w:szCs w:val="20"/>
              </w:rPr>
              <w:t>7,812.71</w:t>
            </w:r>
          </w:p>
        </w:tc>
        <w:tc>
          <w:tcPr>
            <w:tcW w:w="2964" w:type="pct"/>
            <w:gridSpan w:val="5"/>
            <w:shd w:val="clear" w:color="000000" w:fill="FFFFFF"/>
            <w:noWrap/>
            <w:vAlign w:val="center"/>
          </w:tcPr>
          <w:p>
            <w:pPr>
              <w:widowControl/>
              <w:jc w:val="center"/>
              <w:rPr>
                <w:kern w:val="0"/>
                <w:sz w:val="20"/>
                <w:szCs w:val="20"/>
              </w:rPr>
            </w:pPr>
            <w:r>
              <w:rPr>
                <w:rFonts w:hint="eastAsia" w:cs="宋体"/>
                <w:kern w:val="0"/>
                <w:sz w:val="20"/>
                <w:szCs w:val="20"/>
              </w:rPr>
              <w:t>公用经费合计</w:t>
            </w:r>
          </w:p>
        </w:tc>
        <w:tc>
          <w:tcPr>
            <w:tcW w:w="346" w:type="pct"/>
            <w:shd w:val="clear" w:color="000000" w:fill="FFFFFF"/>
            <w:noWrap/>
            <w:vAlign w:val="center"/>
          </w:tcPr>
          <w:p>
            <w:pPr>
              <w:widowControl/>
              <w:jc w:val="right"/>
              <w:rPr>
                <w:kern w:val="0"/>
                <w:sz w:val="20"/>
                <w:szCs w:val="20"/>
              </w:rPr>
            </w:pPr>
            <w:r>
              <w:rPr>
                <w:kern w:val="0"/>
                <w:sz w:val="20"/>
                <w:szCs w:val="20"/>
              </w:rPr>
              <w:t>1,838.39</w:t>
            </w:r>
          </w:p>
        </w:tc>
      </w:tr>
    </w:tbl>
    <w:p>
      <w:pPr>
        <w:topLinePunct/>
        <w:spacing w:line="300" w:lineRule="exact"/>
        <w:rPr>
          <w:rFonts w:eastAsia="黑体"/>
        </w:rPr>
      </w:pPr>
      <w:r>
        <w:rPr>
          <w:rFonts w:hint="eastAsia" w:cs="宋体"/>
          <w:kern w:val="0"/>
        </w:rPr>
        <w:t>注：本表反映部门本年度一般公共预算财政拨款基本支出明细情况</w:t>
      </w:r>
    </w:p>
    <w:p>
      <w:pPr>
        <w:topLinePunct/>
        <w:spacing w:line="500" w:lineRule="exact"/>
        <w:jc w:val="center"/>
        <w:rPr>
          <w:rFonts w:eastAsia="黑体"/>
          <w:kern w:val="0"/>
          <w:sz w:val="44"/>
          <w:szCs w:val="44"/>
        </w:rPr>
      </w:pPr>
      <w:r>
        <w:rPr>
          <w:rFonts w:eastAsia="黑体"/>
          <w:sz w:val="32"/>
          <w:szCs w:val="32"/>
        </w:rPr>
        <w:br w:type="page"/>
      </w:r>
      <w:r>
        <w:rPr>
          <w:rFonts w:hint="eastAsia" w:eastAsia="黑体" w:cs="黑体"/>
          <w:kern w:val="0"/>
          <w:sz w:val="44"/>
          <w:szCs w:val="44"/>
        </w:rPr>
        <w:t>一般公共预算财政拨款</w:t>
      </w:r>
      <w:r>
        <w:rPr>
          <w:rFonts w:eastAsia="黑体"/>
          <w:kern w:val="0"/>
          <w:sz w:val="44"/>
          <w:szCs w:val="44"/>
        </w:rPr>
        <w:t>“</w:t>
      </w:r>
      <w:r>
        <w:rPr>
          <w:rFonts w:hint="eastAsia" w:eastAsia="黑体" w:cs="黑体"/>
          <w:kern w:val="0"/>
          <w:sz w:val="44"/>
          <w:szCs w:val="44"/>
        </w:rPr>
        <w:t>三公</w:t>
      </w:r>
      <w:r>
        <w:rPr>
          <w:rFonts w:eastAsia="黑体"/>
          <w:kern w:val="0"/>
          <w:sz w:val="44"/>
          <w:szCs w:val="44"/>
        </w:rPr>
        <w:t>”</w:t>
      </w:r>
      <w:r>
        <w:rPr>
          <w:rFonts w:hint="eastAsia" w:eastAsia="黑体" w:cs="黑体"/>
          <w:kern w:val="0"/>
          <w:sz w:val="44"/>
          <w:szCs w:val="44"/>
        </w:rPr>
        <w:t>经费支出决算表</w:t>
      </w:r>
    </w:p>
    <w:p>
      <w:pPr>
        <w:topLinePunct/>
        <w:spacing w:line="500" w:lineRule="exact"/>
        <w:rPr>
          <w:kern w:val="0"/>
          <w:sz w:val="22"/>
          <w:szCs w:val="22"/>
        </w:rPr>
      </w:pPr>
    </w:p>
    <w:p>
      <w:pPr>
        <w:topLinePunct/>
        <w:spacing w:line="500" w:lineRule="exact"/>
        <w:jc w:val="right"/>
        <w:rPr>
          <w:rFonts w:ascii="宋体"/>
          <w:kern w:val="0"/>
        </w:rPr>
      </w:pPr>
      <w:r>
        <w:rPr>
          <w:rFonts w:hint="eastAsia" w:ascii="宋体" w:hAnsi="宋体" w:cs="宋体"/>
          <w:kern w:val="0"/>
        </w:rPr>
        <w:t>公开</w:t>
      </w:r>
      <w:r>
        <w:rPr>
          <w:rFonts w:ascii="宋体" w:hAnsi="宋体" w:cs="宋体"/>
          <w:kern w:val="0"/>
        </w:rPr>
        <w:t>07</w:t>
      </w:r>
      <w:r>
        <w:rPr>
          <w:rFonts w:hint="eastAsia" w:ascii="宋体" w:hAnsi="宋体" w:cs="宋体"/>
          <w:kern w:val="0"/>
        </w:rPr>
        <w:t>表</w:t>
      </w:r>
    </w:p>
    <w:p>
      <w:pPr>
        <w:topLinePunct/>
        <w:spacing w:line="500" w:lineRule="exact"/>
        <w:rPr>
          <w:rFonts w:ascii="宋体"/>
        </w:rPr>
      </w:pPr>
      <w:r>
        <w:rPr>
          <w:rFonts w:hint="eastAsia" w:ascii="宋体" w:hAnsi="宋体" w:cs="宋体"/>
          <w:kern w:val="0"/>
        </w:rPr>
        <w:t>部门：湖南省民政厅</w:t>
      </w:r>
      <w:r>
        <w:rPr>
          <w:rFonts w:ascii="宋体" w:hAnsi="宋体" w:cs="宋体"/>
          <w:kern w:val="0"/>
        </w:rPr>
        <w:t xml:space="preserve">                                     </w:t>
      </w:r>
      <w:r>
        <w:rPr>
          <w:rFonts w:hint="eastAsia" w:ascii="宋体" w:hAnsi="宋体" w:cs="宋体"/>
          <w:kern w:val="0"/>
        </w:rPr>
        <w:t>制表日期：</w:t>
      </w:r>
      <w:r>
        <w:rPr>
          <w:rFonts w:ascii="宋体" w:hAnsi="宋体" w:cs="宋体"/>
          <w:kern w:val="0"/>
        </w:rPr>
        <w:t>2016</w:t>
      </w:r>
      <w:r>
        <w:rPr>
          <w:rFonts w:hint="eastAsia" w:ascii="宋体" w:hAnsi="宋体" w:cs="宋体"/>
          <w:kern w:val="0"/>
        </w:rPr>
        <w:t>年</w:t>
      </w:r>
      <w:r>
        <w:rPr>
          <w:rFonts w:ascii="宋体" w:hAnsi="宋体" w:cs="宋体"/>
          <w:kern w:val="0"/>
        </w:rPr>
        <w:t>3</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金额单位：万元</w:t>
      </w:r>
    </w:p>
    <w:tbl>
      <w:tblPr>
        <w:tblStyle w:val="4"/>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099"/>
        <w:gridCol w:w="1100"/>
        <w:gridCol w:w="1100"/>
        <w:gridCol w:w="1100"/>
        <w:gridCol w:w="1774"/>
        <w:gridCol w:w="1100"/>
        <w:gridCol w:w="1100"/>
        <w:gridCol w:w="1100"/>
        <w:gridCol w:w="1100"/>
        <w:gridCol w:w="110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99" w:type="pct"/>
            <w:gridSpan w:val="6"/>
            <w:shd w:val="clear" w:color="000000" w:fill="FFFFFF"/>
            <w:vAlign w:val="center"/>
          </w:tcPr>
          <w:p>
            <w:pPr>
              <w:widowControl/>
              <w:jc w:val="center"/>
              <w:rPr>
                <w:kern w:val="0"/>
                <w:sz w:val="20"/>
                <w:szCs w:val="20"/>
              </w:rPr>
            </w:pPr>
            <w:r>
              <w:rPr>
                <w:rFonts w:hint="eastAsia" w:cs="宋体"/>
                <w:kern w:val="0"/>
                <w:sz w:val="20"/>
                <w:szCs w:val="20"/>
              </w:rPr>
              <w:t>预算数</w:t>
            </w:r>
          </w:p>
        </w:tc>
        <w:tc>
          <w:tcPr>
            <w:tcW w:w="2401" w:type="pct"/>
            <w:gridSpan w:val="6"/>
            <w:shd w:val="clear" w:color="000000" w:fill="FFFFFF"/>
            <w:vAlign w:val="center"/>
          </w:tcPr>
          <w:p>
            <w:pPr>
              <w:widowControl/>
              <w:jc w:val="center"/>
              <w:rPr>
                <w:kern w:val="0"/>
                <w:sz w:val="20"/>
                <w:szCs w:val="20"/>
              </w:rPr>
            </w:pPr>
            <w:r>
              <w:rPr>
                <w:rFonts w:hint="eastAsia" w:cs="宋体"/>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3" w:type="pct"/>
            <w:vMerge w:val="restart"/>
            <w:shd w:val="clear" w:color="000000" w:fill="FFFFFF"/>
            <w:vAlign w:val="center"/>
          </w:tcPr>
          <w:p>
            <w:pPr>
              <w:widowControl/>
              <w:jc w:val="center"/>
              <w:rPr>
                <w:kern w:val="0"/>
                <w:sz w:val="20"/>
                <w:szCs w:val="20"/>
              </w:rPr>
            </w:pPr>
            <w:r>
              <w:rPr>
                <w:rFonts w:hint="eastAsia" w:cs="宋体"/>
                <w:kern w:val="0"/>
                <w:sz w:val="20"/>
                <w:szCs w:val="20"/>
              </w:rPr>
              <w:t>合计</w:t>
            </w:r>
          </w:p>
        </w:tc>
        <w:tc>
          <w:tcPr>
            <w:tcW w:w="393" w:type="pct"/>
            <w:vMerge w:val="restart"/>
            <w:shd w:val="clear" w:color="000000" w:fill="FFFFFF"/>
            <w:vAlign w:val="center"/>
          </w:tcPr>
          <w:p>
            <w:pPr>
              <w:widowControl/>
              <w:jc w:val="center"/>
              <w:rPr>
                <w:kern w:val="0"/>
                <w:sz w:val="20"/>
                <w:szCs w:val="20"/>
              </w:rPr>
            </w:pPr>
            <w:r>
              <w:rPr>
                <w:rFonts w:hint="eastAsia" w:cs="宋体"/>
                <w:kern w:val="0"/>
                <w:sz w:val="20"/>
                <w:szCs w:val="20"/>
              </w:rPr>
              <w:t>因公出国（境）费</w:t>
            </w:r>
          </w:p>
        </w:tc>
        <w:tc>
          <w:tcPr>
            <w:tcW w:w="1179" w:type="pct"/>
            <w:gridSpan w:val="3"/>
            <w:shd w:val="clear" w:color="000000" w:fill="FFFFFF"/>
            <w:vAlign w:val="center"/>
          </w:tcPr>
          <w:p>
            <w:pPr>
              <w:widowControl/>
              <w:jc w:val="center"/>
              <w:rPr>
                <w:kern w:val="0"/>
                <w:sz w:val="20"/>
                <w:szCs w:val="20"/>
              </w:rPr>
            </w:pPr>
            <w:r>
              <w:rPr>
                <w:rFonts w:hint="eastAsia" w:cs="宋体"/>
                <w:kern w:val="0"/>
                <w:sz w:val="20"/>
                <w:szCs w:val="20"/>
              </w:rPr>
              <w:t>公务用车购置及运行费</w:t>
            </w:r>
          </w:p>
        </w:tc>
        <w:tc>
          <w:tcPr>
            <w:tcW w:w="634" w:type="pct"/>
            <w:vMerge w:val="restart"/>
            <w:shd w:val="clear" w:color="000000" w:fill="FFFFFF"/>
            <w:vAlign w:val="center"/>
          </w:tcPr>
          <w:p>
            <w:pPr>
              <w:widowControl/>
              <w:jc w:val="center"/>
              <w:rPr>
                <w:kern w:val="0"/>
                <w:sz w:val="20"/>
                <w:szCs w:val="20"/>
              </w:rPr>
            </w:pPr>
            <w:r>
              <w:rPr>
                <w:rFonts w:hint="eastAsia" w:cs="宋体"/>
                <w:kern w:val="0"/>
                <w:sz w:val="20"/>
                <w:szCs w:val="20"/>
              </w:rPr>
              <w:t>公务接待费</w:t>
            </w:r>
          </w:p>
        </w:tc>
        <w:tc>
          <w:tcPr>
            <w:tcW w:w="393" w:type="pct"/>
            <w:vMerge w:val="restart"/>
            <w:shd w:val="clear" w:color="000000" w:fill="FFFFFF"/>
            <w:vAlign w:val="center"/>
          </w:tcPr>
          <w:p>
            <w:pPr>
              <w:widowControl/>
              <w:jc w:val="center"/>
              <w:rPr>
                <w:kern w:val="0"/>
                <w:sz w:val="20"/>
                <w:szCs w:val="20"/>
              </w:rPr>
            </w:pPr>
            <w:r>
              <w:rPr>
                <w:rFonts w:hint="eastAsia" w:cs="宋体"/>
                <w:kern w:val="0"/>
                <w:sz w:val="20"/>
                <w:szCs w:val="20"/>
              </w:rPr>
              <w:t>合计</w:t>
            </w:r>
          </w:p>
        </w:tc>
        <w:tc>
          <w:tcPr>
            <w:tcW w:w="393" w:type="pct"/>
            <w:vMerge w:val="restart"/>
            <w:shd w:val="clear" w:color="000000" w:fill="FFFFFF"/>
            <w:vAlign w:val="center"/>
          </w:tcPr>
          <w:p>
            <w:pPr>
              <w:widowControl/>
              <w:jc w:val="center"/>
              <w:rPr>
                <w:kern w:val="0"/>
                <w:sz w:val="20"/>
                <w:szCs w:val="20"/>
              </w:rPr>
            </w:pPr>
            <w:r>
              <w:rPr>
                <w:rFonts w:hint="eastAsia" w:cs="宋体"/>
                <w:kern w:val="0"/>
                <w:sz w:val="20"/>
                <w:szCs w:val="20"/>
              </w:rPr>
              <w:t>因公出国（境）费</w:t>
            </w:r>
          </w:p>
        </w:tc>
        <w:tc>
          <w:tcPr>
            <w:tcW w:w="1179" w:type="pct"/>
            <w:gridSpan w:val="3"/>
            <w:shd w:val="clear" w:color="000000" w:fill="FFFFFF"/>
            <w:vAlign w:val="center"/>
          </w:tcPr>
          <w:p>
            <w:pPr>
              <w:widowControl/>
              <w:jc w:val="center"/>
              <w:rPr>
                <w:kern w:val="0"/>
                <w:sz w:val="20"/>
                <w:szCs w:val="20"/>
              </w:rPr>
            </w:pPr>
            <w:r>
              <w:rPr>
                <w:rFonts w:hint="eastAsia" w:cs="宋体"/>
                <w:kern w:val="0"/>
                <w:sz w:val="20"/>
                <w:szCs w:val="20"/>
              </w:rPr>
              <w:t>公务用车购置及运行费</w:t>
            </w:r>
          </w:p>
        </w:tc>
        <w:tc>
          <w:tcPr>
            <w:tcW w:w="436" w:type="pct"/>
            <w:vMerge w:val="restart"/>
            <w:shd w:val="clear" w:color="000000" w:fill="FFFFFF"/>
            <w:vAlign w:val="center"/>
          </w:tcPr>
          <w:p>
            <w:pPr>
              <w:widowControl/>
              <w:jc w:val="center"/>
              <w:rPr>
                <w:kern w:val="0"/>
                <w:sz w:val="20"/>
                <w:szCs w:val="20"/>
              </w:rPr>
            </w:pPr>
            <w:r>
              <w:rPr>
                <w:rFonts w:hint="eastAsia" w:cs="宋体"/>
                <w:kern w:val="0"/>
                <w:sz w:val="20"/>
                <w:szCs w:val="20"/>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3" w:type="pct"/>
            <w:vMerge w:val="continue"/>
            <w:vAlign w:val="center"/>
          </w:tcPr>
          <w:p>
            <w:pPr>
              <w:widowControl/>
              <w:jc w:val="left"/>
              <w:rPr>
                <w:kern w:val="0"/>
                <w:sz w:val="20"/>
                <w:szCs w:val="20"/>
              </w:rPr>
            </w:pPr>
          </w:p>
        </w:tc>
        <w:tc>
          <w:tcPr>
            <w:tcW w:w="393" w:type="pct"/>
            <w:vMerge w:val="continue"/>
            <w:vAlign w:val="center"/>
          </w:tcPr>
          <w:p>
            <w:pPr>
              <w:widowControl/>
              <w:jc w:val="left"/>
              <w:rPr>
                <w:kern w:val="0"/>
                <w:sz w:val="20"/>
                <w:szCs w:val="20"/>
              </w:rPr>
            </w:pPr>
          </w:p>
        </w:tc>
        <w:tc>
          <w:tcPr>
            <w:tcW w:w="393" w:type="pct"/>
            <w:shd w:val="clear" w:color="000000" w:fill="FFFFFF"/>
            <w:vAlign w:val="center"/>
          </w:tcPr>
          <w:p>
            <w:pPr>
              <w:widowControl/>
              <w:jc w:val="center"/>
              <w:rPr>
                <w:kern w:val="0"/>
                <w:sz w:val="20"/>
                <w:szCs w:val="20"/>
              </w:rPr>
            </w:pPr>
            <w:r>
              <w:rPr>
                <w:rFonts w:hint="eastAsia" w:cs="宋体"/>
                <w:kern w:val="0"/>
                <w:sz w:val="20"/>
                <w:szCs w:val="20"/>
              </w:rPr>
              <w:t>小计</w:t>
            </w:r>
          </w:p>
        </w:tc>
        <w:tc>
          <w:tcPr>
            <w:tcW w:w="393" w:type="pct"/>
            <w:shd w:val="clear" w:color="000000" w:fill="FFFFFF"/>
            <w:vAlign w:val="center"/>
          </w:tcPr>
          <w:p>
            <w:pPr>
              <w:widowControl/>
              <w:jc w:val="center"/>
              <w:rPr>
                <w:kern w:val="0"/>
                <w:sz w:val="20"/>
                <w:szCs w:val="20"/>
              </w:rPr>
            </w:pPr>
            <w:r>
              <w:rPr>
                <w:rFonts w:hint="eastAsia" w:cs="宋体"/>
                <w:kern w:val="0"/>
                <w:sz w:val="20"/>
                <w:szCs w:val="20"/>
              </w:rPr>
              <w:t>公务用车购置费</w:t>
            </w:r>
          </w:p>
        </w:tc>
        <w:tc>
          <w:tcPr>
            <w:tcW w:w="393" w:type="pct"/>
            <w:shd w:val="clear" w:color="000000" w:fill="FFFFFF"/>
            <w:vAlign w:val="center"/>
          </w:tcPr>
          <w:p>
            <w:pPr>
              <w:widowControl/>
              <w:jc w:val="center"/>
              <w:rPr>
                <w:kern w:val="0"/>
                <w:sz w:val="20"/>
                <w:szCs w:val="20"/>
              </w:rPr>
            </w:pPr>
            <w:r>
              <w:rPr>
                <w:rFonts w:hint="eastAsia" w:cs="宋体"/>
                <w:kern w:val="0"/>
                <w:sz w:val="20"/>
                <w:szCs w:val="20"/>
              </w:rPr>
              <w:t>公务用车运行费</w:t>
            </w:r>
          </w:p>
        </w:tc>
        <w:tc>
          <w:tcPr>
            <w:tcW w:w="634" w:type="pct"/>
            <w:vMerge w:val="continue"/>
            <w:vAlign w:val="center"/>
          </w:tcPr>
          <w:p>
            <w:pPr>
              <w:widowControl/>
              <w:jc w:val="left"/>
              <w:rPr>
                <w:kern w:val="0"/>
                <w:sz w:val="20"/>
                <w:szCs w:val="20"/>
              </w:rPr>
            </w:pPr>
          </w:p>
        </w:tc>
        <w:tc>
          <w:tcPr>
            <w:tcW w:w="393" w:type="pct"/>
            <w:vMerge w:val="continue"/>
            <w:vAlign w:val="center"/>
          </w:tcPr>
          <w:p>
            <w:pPr>
              <w:widowControl/>
              <w:jc w:val="left"/>
              <w:rPr>
                <w:kern w:val="0"/>
                <w:sz w:val="20"/>
                <w:szCs w:val="20"/>
              </w:rPr>
            </w:pPr>
          </w:p>
        </w:tc>
        <w:tc>
          <w:tcPr>
            <w:tcW w:w="393" w:type="pct"/>
            <w:vMerge w:val="continue"/>
            <w:vAlign w:val="center"/>
          </w:tcPr>
          <w:p>
            <w:pPr>
              <w:widowControl/>
              <w:jc w:val="left"/>
              <w:rPr>
                <w:kern w:val="0"/>
                <w:sz w:val="20"/>
                <w:szCs w:val="20"/>
              </w:rPr>
            </w:pPr>
          </w:p>
        </w:tc>
        <w:tc>
          <w:tcPr>
            <w:tcW w:w="393" w:type="pct"/>
            <w:shd w:val="clear" w:color="000000" w:fill="FFFFFF"/>
            <w:vAlign w:val="center"/>
          </w:tcPr>
          <w:p>
            <w:pPr>
              <w:widowControl/>
              <w:jc w:val="center"/>
              <w:rPr>
                <w:kern w:val="0"/>
                <w:sz w:val="20"/>
                <w:szCs w:val="20"/>
              </w:rPr>
            </w:pPr>
            <w:r>
              <w:rPr>
                <w:rFonts w:hint="eastAsia" w:cs="宋体"/>
                <w:kern w:val="0"/>
                <w:sz w:val="20"/>
                <w:szCs w:val="20"/>
              </w:rPr>
              <w:t>小计</w:t>
            </w:r>
          </w:p>
        </w:tc>
        <w:tc>
          <w:tcPr>
            <w:tcW w:w="393" w:type="pct"/>
            <w:shd w:val="clear" w:color="000000" w:fill="FFFFFF"/>
            <w:vAlign w:val="center"/>
          </w:tcPr>
          <w:p>
            <w:pPr>
              <w:widowControl/>
              <w:jc w:val="center"/>
              <w:rPr>
                <w:kern w:val="0"/>
                <w:sz w:val="20"/>
                <w:szCs w:val="20"/>
              </w:rPr>
            </w:pPr>
            <w:r>
              <w:rPr>
                <w:rFonts w:hint="eastAsia" w:cs="宋体"/>
                <w:kern w:val="0"/>
                <w:sz w:val="20"/>
                <w:szCs w:val="20"/>
              </w:rPr>
              <w:t>公务用车购置费</w:t>
            </w:r>
          </w:p>
        </w:tc>
        <w:tc>
          <w:tcPr>
            <w:tcW w:w="393" w:type="pct"/>
            <w:shd w:val="clear" w:color="000000" w:fill="FFFFFF"/>
            <w:vAlign w:val="center"/>
          </w:tcPr>
          <w:p>
            <w:pPr>
              <w:widowControl/>
              <w:jc w:val="center"/>
              <w:rPr>
                <w:kern w:val="0"/>
                <w:sz w:val="20"/>
                <w:szCs w:val="20"/>
              </w:rPr>
            </w:pPr>
            <w:r>
              <w:rPr>
                <w:rFonts w:hint="eastAsia" w:cs="宋体"/>
                <w:kern w:val="0"/>
                <w:sz w:val="20"/>
                <w:szCs w:val="20"/>
              </w:rPr>
              <w:t>公务用车运行费</w:t>
            </w:r>
          </w:p>
        </w:tc>
        <w:tc>
          <w:tcPr>
            <w:tcW w:w="436" w:type="pct"/>
            <w:vMerge w:val="continue"/>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3" w:type="pct"/>
            <w:shd w:val="clear" w:color="000000" w:fill="FFFFFF"/>
            <w:vAlign w:val="center"/>
          </w:tcPr>
          <w:p>
            <w:pPr>
              <w:widowControl/>
              <w:jc w:val="center"/>
              <w:rPr>
                <w:kern w:val="0"/>
                <w:sz w:val="20"/>
                <w:szCs w:val="20"/>
              </w:rPr>
            </w:pPr>
            <w:r>
              <w:rPr>
                <w:kern w:val="0"/>
                <w:sz w:val="20"/>
                <w:szCs w:val="20"/>
              </w:rPr>
              <w:t>1</w:t>
            </w:r>
          </w:p>
        </w:tc>
        <w:tc>
          <w:tcPr>
            <w:tcW w:w="393" w:type="pct"/>
            <w:shd w:val="clear" w:color="000000" w:fill="FFFFFF"/>
            <w:vAlign w:val="center"/>
          </w:tcPr>
          <w:p>
            <w:pPr>
              <w:widowControl/>
              <w:jc w:val="center"/>
              <w:rPr>
                <w:kern w:val="0"/>
                <w:sz w:val="20"/>
                <w:szCs w:val="20"/>
              </w:rPr>
            </w:pPr>
            <w:r>
              <w:rPr>
                <w:kern w:val="0"/>
                <w:sz w:val="20"/>
                <w:szCs w:val="20"/>
              </w:rPr>
              <w:t>2</w:t>
            </w:r>
          </w:p>
        </w:tc>
        <w:tc>
          <w:tcPr>
            <w:tcW w:w="393" w:type="pct"/>
            <w:shd w:val="clear" w:color="000000" w:fill="FFFFFF"/>
            <w:vAlign w:val="center"/>
          </w:tcPr>
          <w:p>
            <w:pPr>
              <w:widowControl/>
              <w:jc w:val="center"/>
              <w:rPr>
                <w:kern w:val="0"/>
                <w:sz w:val="20"/>
                <w:szCs w:val="20"/>
              </w:rPr>
            </w:pPr>
            <w:r>
              <w:rPr>
                <w:kern w:val="0"/>
                <w:sz w:val="20"/>
                <w:szCs w:val="20"/>
              </w:rPr>
              <w:t>3</w:t>
            </w:r>
          </w:p>
        </w:tc>
        <w:tc>
          <w:tcPr>
            <w:tcW w:w="393" w:type="pct"/>
            <w:shd w:val="clear" w:color="000000" w:fill="FFFFFF"/>
            <w:vAlign w:val="center"/>
          </w:tcPr>
          <w:p>
            <w:pPr>
              <w:widowControl/>
              <w:jc w:val="center"/>
              <w:rPr>
                <w:kern w:val="0"/>
                <w:sz w:val="20"/>
                <w:szCs w:val="20"/>
              </w:rPr>
            </w:pPr>
            <w:r>
              <w:rPr>
                <w:kern w:val="0"/>
                <w:sz w:val="20"/>
                <w:szCs w:val="20"/>
              </w:rPr>
              <w:t>4</w:t>
            </w:r>
          </w:p>
        </w:tc>
        <w:tc>
          <w:tcPr>
            <w:tcW w:w="393" w:type="pct"/>
            <w:shd w:val="clear" w:color="000000" w:fill="FFFFFF"/>
            <w:vAlign w:val="center"/>
          </w:tcPr>
          <w:p>
            <w:pPr>
              <w:widowControl/>
              <w:jc w:val="center"/>
              <w:rPr>
                <w:kern w:val="0"/>
                <w:sz w:val="20"/>
                <w:szCs w:val="20"/>
              </w:rPr>
            </w:pPr>
            <w:r>
              <w:rPr>
                <w:kern w:val="0"/>
                <w:sz w:val="20"/>
                <w:szCs w:val="20"/>
              </w:rPr>
              <w:t>5</w:t>
            </w:r>
          </w:p>
        </w:tc>
        <w:tc>
          <w:tcPr>
            <w:tcW w:w="634" w:type="pct"/>
            <w:shd w:val="clear" w:color="000000" w:fill="FFFFFF"/>
            <w:vAlign w:val="center"/>
          </w:tcPr>
          <w:p>
            <w:pPr>
              <w:widowControl/>
              <w:jc w:val="center"/>
              <w:rPr>
                <w:kern w:val="0"/>
                <w:sz w:val="20"/>
                <w:szCs w:val="20"/>
              </w:rPr>
            </w:pPr>
            <w:r>
              <w:rPr>
                <w:kern w:val="0"/>
                <w:sz w:val="20"/>
                <w:szCs w:val="20"/>
              </w:rPr>
              <w:t>6</w:t>
            </w:r>
          </w:p>
        </w:tc>
        <w:tc>
          <w:tcPr>
            <w:tcW w:w="393" w:type="pct"/>
            <w:shd w:val="clear" w:color="000000" w:fill="FFFFFF"/>
            <w:vAlign w:val="center"/>
          </w:tcPr>
          <w:p>
            <w:pPr>
              <w:widowControl/>
              <w:jc w:val="center"/>
              <w:rPr>
                <w:kern w:val="0"/>
                <w:sz w:val="20"/>
                <w:szCs w:val="20"/>
              </w:rPr>
            </w:pPr>
            <w:r>
              <w:rPr>
                <w:kern w:val="0"/>
                <w:sz w:val="20"/>
                <w:szCs w:val="20"/>
              </w:rPr>
              <w:t>7</w:t>
            </w:r>
          </w:p>
        </w:tc>
        <w:tc>
          <w:tcPr>
            <w:tcW w:w="393" w:type="pct"/>
            <w:shd w:val="clear" w:color="000000" w:fill="FFFFFF"/>
            <w:vAlign w:val="center"/>
          </w:tcPr>
          <w:p>
            <w:pPr>
              <w:widowControl/>
              <w:jc w:val="center"/>
              <w:rPr>
                <w:kern w:val="0"/>
                <w:sz w:val="20"/>
                <w:szCs w:val="20"/>
              </w:rPr>
            </w:pPr>
            <w:r>
              <w:rPr>
                <w:kern w:val="0"/>
                <w:sz w:val="20"/>
                <w:szCs w:val="20"/>
              </w:rPr>
              <w:t>8</w:t>
            </w:r>
          </w:p>
        </w:tc>
        <w:tc>
          <w:tcPr>
            <w:tcW w:w="393" w:type="pct"/>
            <w:shd w:val="clear" w:color="000000" w:fill="FFFFFF"/>
            <w:vAlign w:val="center"/>
          </w:tcPr>
          <w:p>
            <w:pPr>
              <w:widowControl/>
              <w:jc w:val="center"/>
              <w:rPr>
                <w:kern w:val="0"/>
                <w:sz w:val="20"/>
                <w:szCs w:val="20"/>
              </w:rPr>
            </w:pPr>
            <w:r>
              <w:rPr>
                <w:kern w:val="0"/>
                <w:sz w:val="20"/>
                <w:szCs w:val="20"/>
              </w:rPr>
              <w:t>9</w:t>
            </w:r>
          </w:p>
        </w:tc>
        <w:tc>
          <w:tcPr>
            <w:tcW w:w="393" w:type="pct"/>
            <w:shd w:val="clear" w:color="000000" w:fill="FFFFFF"/>
            <w:vAlign w:val="center"/>
          </w:tcPr>
          <w:p>
            <w:pPr>
              <w:widowControl/>
              <w:jc w:val="center"/>
              <w:rPr>
                <w:kern w:val="0"/>
                <w:sz w:val="20"/>
                <w:szCs w:val="20"/>
              </w:rPr>
            </w:pPr>
            <w:r>
              <w:rPr>
                <w:kern w:val="0"/>
                <w:sz w:val="20"/>
                <w:szCs w:val="20"/>
              </w:rPr>
              <w:t>10</w:t>
            </w:r>
          </w:p>
        </w:tc>
        <w:tc>
          <w:tcPr>
            <w:tcW w:w="393" w:type="pct"/>
            <w:shd w:val="clear" w:color="000000" w:fill="FFFFFF"/>
            <w:vAlign w:val="center"/>
          </w:tcPr>
          <w:p>
            <w:pPr>
              <w:widowControl/>
              <w:jc w:val="center"/>
              <w:rPr>
                <w:kern w:val="0"/>
                <w:sz w:val="20"/>
                <w:szCs w:val="20"/>
              </w:rPr>
            </w:pPr>
            <w:r>
              <w:rPr>
                <w:kern w:val="0"/>
                <w:sz w:val="20"/>
                <w:szCs w:val="20"/>
              </w:rPr>
              <w:t>11</w:t>
            </w:r>
          </w:p>
        </w:tc>
        <w:tc>
          <w:tcPr>
            <w:tcW w:w="436" w:type="pct"/>
            <w:shd w:val="clear" w:color="000000" w:fill="FFFFFF"/>
            <w:vAlign w:val="center"/>
          </w:tcPr>
          <w:p>
            <w:pPr>
              <w:widowControl/>
              <w:jc w:val="center"/>
              <w:rPr>
                <w:kern w:val="0"/>
                <w:sz w:val="20"/>
                <w:szCs w:val="20"/>
              </w:rPr>
            </w:pPr>
            <w:r>
              <w:rPr>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3" w:type="pct"/>
            <w:shd w:val="clear" w:color="000000" w:fill="FFFFFF"/>
            <w:noWrap/>
            <w:vAlign w:val="center"/>
          </w:tcPr>
          <w:p>
            <w:pPr>
              <w:widowControl/>
              <w:jc w:val="right"/>
              <w:rPr>
                <w:kern w:val="0"/>
                <w:sz w:val="20"/>
                <w:szCs w:val="20"/>
              </w:rPr>
            </w:pPr>
            <w:r>
              <w:rPr>
                <w:kern w:val="0"/>
                <w:sz w:val="20"/>
                <w:szCs w:val="20"/>
              </w:rPr>
              <w:t>236.00</w:t>
            </w:r>
          </w:p>
        </w:tc>
        <w:tc>
          <w:tcPr>
            <w:tcW w:w="393" w:type="pct"/>
            <w:shd w:val="clear" w:color="000000" w:fill="FFFFFF"/>
            <w:noWrap/>
            <w:vAlign w:val="center"/>
          </w:tcPr>
          <w:p>
            <w:pPr>
              <w:widowControl/>
              <w:jc w:val="right"/>
              <w:rPr>
                <w:kern w:val="0"/>
                <w:sz w:val="20"/>
                <w:szCs w:val="20"/>
              </w:rPr>
            </w:pPr>
            <w:r>
              <w:rPr>
                <w:kern w:val="0"/>
                <w:sz w:val="20"/>
                <w:szCs w:val="20"/>
              </w:rPr>
              <w:t>30.00</w:t>
            </w:r>
          </w:p>
        </w:tc>
        <w:tc>
          <w:tcPr>
            <w:tcW w:w="393" w:type="pct"/>
            <w:shd w:val="clear" w:color="000000" w:fill="FFFFFF"/>
            <w:noWrap/>
            <w:vAlign w:val="center"/>
          </w:tcPr>
          <w:p>
            <w:pPr>
              <w:widowControl/>
              <w:jc w:val="right"/>
              <w:rPr>
                <w:kern w:val="0"/>
                <w:sz w:val="20"/>
                <w:szCs w:val="20"/>
              </w:rPr>
            </w:pPr>
            <w:r>
              <w:rPr>
                <w:kern w:val="0"/>
                <w:sz w:val="20"/>
                <w:szCs w:val="20"/>
              </w:rPr>
              <w:t>144.00</w:t>
            </w:r>
          </w:p>
        </w:tc>
        <w:tc>
          <w:tcPr>
            <w:tcW w:w="393" w:type="pct"/>
            <w:shd w:val="clear" w:color="000000" w:fill="FFFFFF"/>
            <w:noWrap/>
            <w:vAlign w:val="center"/>
          </w:tcPr>
          <w:p>
            <w:pPr>
              <w:widowControl/>
              <w:jc w:val="right"/>
              <w:rPr>
                <w:kern w:val="0"/>
                <w:sz w:val="20"/>
                <w:szCs w:val="20"/>
              </w:rPr>
            </w:pPr>
            <w:r>
              <w:rPr>
                <w:kern w:val="0"/>
                <w:sz w:val="20"/>
                <w:szCs w:val="20"/>
              </w:rPr>
              <w:t>18.00</w:t>
            </w:r>
          </w:p>
        </w:tc>
        <w:tc>
          <w:tcPr>
            <w:tcW w:w="393" w:type="pct"/>
            <w:shd w:val="clear" w:color="000000" w:fill="FFFFFF"/>
            <w:noWrap/>
            <w:vAlign w:val="center"/>
          </w:tcPr>
          <w:p>
            <w:pPr>
              <w:widowControl/>
              <w:jc w:val="right"/>
              <w:rPr>
                <w:kern w:val="0"/>
                <w:sz w:val="20"/>
                <w:szCs w:val="20"/>
              </w:rPr>
            </w:pPr>
            <w:r>
              <w:rPr>
                <w:kern w:val="0"/>
                <w:sz w:val="20"/>
                <w:szCs w:val="20"/>
              </w:rPr>
              <w:t>126.00</w:t>
            </w:r>
          </w:p>
        </w:tc>
        <w:tc>
          <w:tcPr>
            <w:tcW w:w="634" w:type="pct"/>
            <w:shd w:val="clear" w:color="000000" w:fill="FFFFFF"/>
            <w:noWrap/>
            <w:vAlign w:val="center"/>
          </w:tcPr>
          <w:p>
            <w:pPr>
              <w:widowControl/>
              <w:jc w:val="right"/>
              <w:rPr>
                <w:kern w:val="0"/>
                <w:sz w:val="20"/>
                <w:szCs w:val="20"/>
              </w:rPr>
            </w:pPr>
            <w:r>
              <w:rPr>
                <w:kern w:val="0"/>
                <w:sz w:val="20"/>
                <w:szCs w:val="20"/>
              </w:rPr>
              <w:t>62.00</w:t>
            </w:r>
          </w:p>
        </w:tc>
        <w:tc>
          <w:tcPr>
            <w:tcW w:w="393" w:type="pct"/>
            <w:shd w:val="clear" w:color="000000" w:fill="FFFFFF"/>
            <w:noWrap/>
            <w:vAlign w:val="center"/>
          </w:tcPr>
          <w:p>
            <w:pPr>
              <w:widowControl/>
              <w:jc w:val="right"/>
              <w:rPr>
                <w:kern w:val="0"/>
                <w:sz w:val="20"/>
                <w:szCs w:val="20"/>
              </w:rPr>
            </w:pPr>
            <w:r>
              <w:rPr>
                <w:kern w:val="0"/>
                <w:sz w:val="20"/>
                <w:szCs w:val="20"/>
              </w:rPr>
              <w:t>188.98</w:t>
            </w:r>
          </w:p>
        </w:tc>
        <w:tc>
          <w:tcPr>
            <w:tcW w:w="393" w:type="pct"/>
            <w:shd w:val="clear" w:color="000000" w:fill="FFFFFF"/>
            <w:noWrap/>
            <w:vAlign w:val="center"/>
          </w:tcPr>
          <w:p>
            <w:pPr>
              <w:widowControl/>
              <w:jc w:val="right"/>
              <w:rPr>
                <w:kern w:val="0"/>
                <w:sz w:val="20"/>
                <w:szCs w:val="20"/>
              </w:rPr>
            </w:pPr>
            <w:r>
              <w:rPr>
                <w:kern w:val="0"/>
                <w:sz w:val="20"/>
                <w:szCs w:val="20"/>
              </w:rPr>
              <w:t>26.73</w:t>
            </w:r>
          </w:p>
        </w:tc>
        <w:tc>
          <w:tcPr>
            <w:tcW w:w="393" w:type="pct"/>
            <w:shd w:val="clear" w:color="000000" w:fill="FFFFFF"/>
            <w:noWrap/>
            <w:vAlign w:val="center"/>
          </w:tcPr>
          <w:p>
            <w:pPr>
              <w:widowControl/>
              <w:jc w:val="right"/>
              <w:rPr>
                <w:kern w:val="0"/>
                <w:sz w:val="20"/>
                <w:szCs w:val="20"/>
              </w:rPr>
            </w:pPr>
            <w:r>
              <w:rPr>
                <w:kern w:val="0"/>
                <w:sz w:val="20"/>
                <w:szCs w:val="20"/>
              </w:rPr>
              <w:t>143.94</w:t>
            </w:r>
          </w:p>
        </w:tc>
        <w:tc>
          <w:tcPr>
            <w:tcW w:w="393" w:type="pct"/>
            <w:shd w:val="clear" w:color="000000" w:fill="FFFFFF"/>
            <w:noWrap/>
            <w:vAlign w:val="center"/>
          </w:tcPr>
          <w:p>
            <w:pPr>
              <w:widowControl/>
              <w:jc w:val="right"/>
              <w:rPr>
                <w:kern w:val="0"/>
                <w:sz w:val="20"/>
                <w:szCs w:val="20"/>
              </w:rPr>
            </w:pPr>
            <w:r>
              <w:rPr>
                <w:kern w:val="0"/>
                <w:sz w:val="20"/>
                <w:szCs w:val="20"/>
              </w:rPr>
              <w:t>17.98</w:t>
            </w:r>
          </w:p>
        </w:tc>
        <w:tc>
          <w:tcPr>
            <w:tcW w:w="393" w:type="pct"/>
            <w:shd w:val="clear" w:color="000000" w:fill="FFFFFF"/>
            <w:noWrap/>
            <w:vAlign w:val="center"/>
          </w:tcPr>
          <w:p>
            <w:pPr>
              <w:widowControl/>
              <w:jc w:val="right"/>
              <w:rPr>
                <w:kern w:val="0"/>
                <w:sz w:val="20"/>
                <w:szCs w:val="20"/>
              </w:rPr>
            </w:pPr>
            <w:r>
              <w:rPr>
                <w:kern w:val="0"/>
                <w:sz w:val="20"/>
                <w:szCs w:val="20"/>
              </w:rPr>
              <w:t>125.96</w:t>
            </w:r>
          </w:p>
        </w:tc>
        <w:tc>
          <w:tcPr>
            <w:tcW w:w="436" w:type="pct"/>
            <w:shd w:val="clear" w:color="000000" w:fill="FFFFFF"/>
            <w:noWrap/>
            <w:vAlign w:val="center"/>
          </w:tcPr>
          <w:p>
            <w:pPr>
              <w:widowControl/>
              <w:jc w:val="right"/>
              <w:rPr>
                <w:kern w:val="0"/>
                <w:sz w:val="20"/>
                <w:szCs w:val="20"/>
              </w:rPr>
            </w:pPr>
            <w:r>
              <w:rPr>
                <w:kern w:val="0"/>
                <w:sz w:val="20"/>
                <w:szCs w:val="20"/>
              </w:rPr>
              <w:t>18.31</w:t>
            </w:r>
          </w:p>
        </w:tc>
      </w:tr>
    </w:tbl>
    <w:p>
      <w:pPr>
        <w:topLinePunct/>
        <w:spacing w:line="300" w:lineRule="exact"/>
        <w:rPr>
          <w:rFonts w:eastAsia="黑体"/>
        </w:rPr>
      </w:pPr>
      <w:r>
        <w:rPr>
          <w:rFonts w:hint="eastAsia" w:cs="宋体"/>
          <w:kern w:val="0"/>
        </w:rPr>
        <w:t>注：本表反映部门本年度</w:t>
      </w:r>
      <w:r>
        <w:rPr>
          <w:kern w:val="0"/>
        </w:rPr>
        <w:t>“</w:t>
      </w:r>
      <w:r>
        <w:rPr>
          <w:rFonts w:hint="eastAsia" w:cs="宋体"/>
          <w:kern w:val="0"/>
        </w:rPr>
        <w:t>三公</w:t>
      </w:r>
      <w:r>
        <w:rPr>
          <w:kern w:val="0"/>
        </w:rPr>
        <w:t>”</w:t>
      </w:r>
      <w:r>
        <w:rPr>
          <w:rFonts w:hint="eastAsia" w:cs="宋体"/>
          <w:kern w:val="0"/>
        </w:rPr>
        <w:t>经费支出预决算情况。其中：预算数为</w:t>
      </w:r>
      <w:r>
        <w:rPr>
          <w:kern w:val="0"/>
        </w:rPr>
        <w:t>“</w:t>
      </w:r>
      <w:r>
        <w:rPr>
          <w:rFonts w:hint="eastAsia" w:cs="宋体"/>
          <w:kern w:val="0"/>
        </w:rPr>
        <w:t>三公</w:t>
      </w:r>
      <w:r>
        <w:rPr>
          <w:kern w:val="0"/>
        </w:rPr>
        <w:t>”</w:t>
      </w:r>
      <w:r>
        <w:rPr>
          <w:rFonts w:hint="eastAsia" w:cs="宋体"/>
          <w:kern w:val="0"/>
        </w:rPr>
        <w:t>经费年初预算数，决算数是包括当年一般公共预算财政拨款和以前年度结转资金安排的实际支出。</w:t>
      </w:r>
    </w:p>
    <w:p>
      <w:pPr>
        <w:topLinePunct/>
        <w:spacing w:line="500" w:lineRule="exact"/>
        <w:jc w:val="center"/>
        <w:rPr>
          <w:rFonts w:eastAsia="黑体"/>
          <w:color w:val="000000"/>
          <w:sz w:val="30"/>
          <w:szCs w:val="30"/>
        </w:rPr>
      </w:pPr>
      <w:r>
        <w:rPr>
          <w:rFonts w:eastAsia="黑体"/>
          <w:sz w:val="32"/>
          <w:szCs w:val="32"/>
        </w:rPr>
        <w:br w:type="page"/>
      </w:r>
      <w:r>
        <w:rPr>
          <w:rFonts w:hint="eastAsia" w:eastAsia="黑体" w:cs="黑体"/>
          <w:color w:val="000000"/>
          <w:sz w:val="30"/>
          <w:szCs w:val="30"/>
        </w:rPr>
        <w:t>政府性基金预算财政拨款收入支出决算表</w:t>
      </w:r>
    </w:p>
    <w:p>
      <w:pPr>
        <w:topLinePunct/>
        <w:spacing w:line="400" w:lineRule="exact"/>
        <w:jc w:val="right"/>
        <w:rPr>
          <w:color w:val="000000"/>
        </w:rPr>
      </w:pPr>
      <w:r>
        <w:rPr>
          <w:rFonts w:hint="eastAsia" w:cs="宋体"/>
          <w:color w:val="000000"/>
        </w:rPr>
        <w:t>公开</w:t>
      </w:r>
      <w:r>
        <w:rPr>
          <w:color w:val="000000"/>
        </w:rPr>
        <w:t>08</w:t>
      </w:r>
      <w:r>
        <w:rPr>
          <w:rFonts w:hint="eastAsia" w:cs="宋体"/>
          <w:color w:val="000000"/>
        </w:rPr>
        <w:t>表</w:t>
      </w:r>
    </w:p>
    <w:p>
      <w:pPr>
        <w:topLinePunct/>
        <w:spacing w:line="400" w:lineRule="exact"/>
        <w:rPr>
          <w:rFonts w:eastAsia="黑体"/>
        </w:rPr>
      </w:pPr>
      <w:r>
        <w:rPr>
          <w:rFonts w:hint="eastAsia" w:cs="宋体"/>
          <w:color w:val="000000"/>
        </w:rPr>
        <w:t>部门：湖南省民政厅</w:t>
      </w:r>
      <w:r>
        <w:rPr>
          <w:color w:val="000000"/>
        </w:rPr>
        <w:t xml:space="preserve">                                            2018</w:t>
      </w:r>
      <w:r>
        <w:rPr>
          <w:rFonts w:hint="eastAsia" w:cs="宋体"/>
          <w:color w:val="000000"/>
        </w:rPr>
        <w:t>年度</w:t>
      </w:r>
      <w:r>
        <w:rPr>
          <w:color w:val="000000"/>
        </w:rPr>
        <w:t xml:space="preserve">                                              </w:t>
      </w:r>
      <w:r>
        <w:rPr>
          <w:rFonts w:hint="eastAsia" w:cs="宋体"/>
          <w:color w:val="000000"/>
        </w:rPr>
        <w:t>金额单位：万元</w:t>
      </w:r>
    </w:p>
    <w:tbl>
      <w:tblPr>
        <w:tblStyle w:val="4"/>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4"/>
        <w:gridCol w:w="3855"/>
        <w:gridCol w:w="1517"/>
        <w:gridCol w:w="1517"/>
        <w:gridCol w:w="1517"/>
        <w:gridCol w:w="1517"/>
        <w:gridCol w:w="152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704" w:type="pct"/>
            <w:gridSpan w:val="2"/>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项目</w:t>
            </w:r>
          </w:p>
        </w:tc>
        <w:tc>
          <w:tcPr>
            <w:tcW w:w="549"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年初结转和结余</w:t>
            </w:r>
          </w:p>
        </w:tc>
        <w:tc>
          <w:tcPr>
            <w:tcW w:w="549"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本年收入</w:t>
            </w:r>
          </w:p>
        </w:tc>
        <w:tc>
          <w:tcPr>
            <w:tcW w:w="1648" w:type="pct"/>
            <w:gridSpan w:val="3"/>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本年支出</w:t>
            </w:r>
          </w:p>
        </w:tc>
        <w:tc>
          <w:tcPr>
            <w:tcW w:w="549"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09"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功能分类科目编码</w:t>
            </w:r>
          </w:p>
        </w:tc>
        <w:tc>
          <w:tcPr>
            <w:tcW w:w="1395" w:type="pct"/>
            <w:vMerge w:val="restart"/>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科目名称</w:t>
            </w:r>
          </w:p>
        </w:tc>
        <w:tc>
          <w:tcPr>
            <w:tcW w:w="549" w:type="pct"/>
            <w:vMerge w:val="continue"/>
            <w:tcMar>
              <w:top w:w="19" w:type="dxa"/>
              <w:left w:w="19" w:type="dxa"/>
              <w:bottom w:w="0" w:type="dxa"/>
              <w:right w:w="19" w:type="dxa"/>
            </w:tcMar>
            <w:vAlign w:val="center"/>
          </w:tcPr>
          <w:p>
            <w:pPr>
              <w:rPr>
                <w:sz w:val="20"/>
                <w:szCs w:val="20"/>
              </w:rPr>
            </w:pPr>
          </w:p>
        </w:tc>
        <w:tc>
          <w:tcPr>
            <w:tcW w:w="549" w:type="pct"/>
            <w:vMerge w:val="continue"/>
            <w:tcMar>
              <w:top w:w="19" w:type="dxa"/>
              <w:left w:w="19" w:type="dxa"/>
              <w:bottom w:w="0" w:type="dxa"/>
              <w:right w:w="19" w:type="dxa"/>
            </w:tcMar>
            <w:vAlign w:val="center"/>
          </w:tcPr>
          <w:p>
            <w:pPr>
              <w:rPr>
                <w:sz w:val="20"/>
                <w:szCs w:val="20"/>
              </w:rPr>
            </w:pPr>
          </w:p>
        </w:tc>
        <w:tc>
          <w:tcPr>
            <w:tcW w:w="549"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小计</w:t>
            </w:r>
          </w:p>
        </w:tc>
        <w:tc>
          <w:tcPr>
            <w:tcW w:w="549"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基本支出</w:t>
            </w:r>
          </w:p>
        </w:tc>
        <w:tc>
          <w:tcPr>
            <w:tcW w:w="550" w:type="pct"/>
            <w:vMerge w:val="restart"/>
            <w:shd w:val="clear" w:color="000000" w:fill="FFFFFF"/>
            <w:tcMar>
              <w:top w:w="19" w:type="dxa"/>
              <w:left w:w="19" w:type="dxa"/>
              <w:bottom w:w="0" w:type="dxa"/>
              <w:right w:w="19" w:type="dxa"/>
            </w:tcMar>
            <w:vAlign w:val="center"/>
          </w:tcPr>
          <w:p>
            <w:pPr>
              <w:jc w:val="center"/>
              <w:rPr>
                <w:sz w:val="20"/>
                <w:szCs w:val="20"/>
              </w:rPr>
            </w:pPr>
            <w:r>
              <w:rPr>
                <w:rFonts w:hint="eastAsia" w:cs="宋体"/>
                <w:sz w:val="20"/>
                <w:szCs w:val="20"/>
              </w:rPr>
              <w:t>项目支出</w:t>
            </w:r>
          </w:p>
        </w:tc>
        <w:tc>
          <w:tcPr>
            <w:tcW w:w="549"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09" w:type="pct"/>
            <w:vMerge w:val="continue"/>
            <w:vAlign w:val="center"/>
          </w:tcPr>
          <w:p>
            <w:pPr>
              <w:rPr>
                <w:sz w:val="20"/>
                <w:szCs w:val="20"/>
              </w:rPr>
            </w:pPr>
          </w:p>
        </w:tc>
        <w:tc>
          <w:tcPr>
            <w:tcW w:w="1395" w:type="pct"/>
            <w:vMerge w:val="continue"/>
            <w:vAlign w:val="center"/>
          </w:tcPr>
          <w:p>
            <w:pPr>
              <w:rPr>
                <w:sz w:val="20"/>
                <w:szCs w:val="20"/>
              </w:rPr>
            </w:pPr>
          </w:p>
        </w:tc>
        <w:tc>
          <w:tcPr>
            <w:tcW w:w="549" w:type="pct"/>
            <w:vMerge w:val="continue"/>
            <w:vAlign w:val="center"/>
          </w:tcPr>
          <w:p>
            <w:pPr>
              <w:rPr>
                <w:sz w:val="20"/>
                <w:szCs w:val="20"/>
              </w:rPr>
            </w:pPr>
          </w:p>
        </w:tc>
        <w:tc>
          <w:tcPr>
            <w:tcW w:w="549" w:type="pct"/>
            <w:vMerge w:val="continue"/>
            <w:vAlign w:val="center"/>
          </w:tcPr>
          <w:p>
            <w:pPr>
              <w:rPr>
                <w:sz w:val="20"/>
                <w:szCs w:val="20"/>
              </w:rPr>
            </w:pPr>
          </w:p>
        </w:tc>
        <w:tc>
          <w:tcPr>
            <w:tcW w:w="549" w:type="pct"/>
            <w:vMerge w:val="continue"/>
            <w:vAlign w:val="center"/>
          </w:tcPr>
          <w:p>
            <w:pPr>
              <w:rPr>
                <w:sz w:val="20"/>
                <w:szCs w:val="20"/>
              </w:rPr>
            </w:pPr>
          </w:p>
        </w:tc>
        <w:tc>
          <w:tcPr>
            <w:tcW w:w="549" w:type="pct"/>
            <w:vMerge w:val="continue"/>
            <w:vAlign w:val="center"/>
          </w:tcPr>
          <w:p>
            <w:pPr>
              <w:rPr>
                <w:sz w:val="20"/>
                <w:szCs w:val="20"/>
              </w:rPr>
            </w:pPr>
          </w:p>
        </w:tc>
        <w:tc>
          <w:tcPr>
            <w:tcW w:w="550" w:type="pct"/>
            <w:vMerge w:val="continue"/>
            <w:vAlign w:val="center"/>
          </w:tcPr>
          <w:p>
            <w:pPr>
              <w:rPr>
                <w:sz w:val="20"/>
                <w:szCs w:val="20"/>
              </w:rPr>
            </w:pPr>
          </w:p>
        </w:tc>
        <w:tc>
          <w:tcPr>
            <w:tcW w:w="549"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09" w:type="pct"/>
            <w:vMerge w:val="continue"/>
            <w:vAlign w:val="center"/>
          </w:tcPr>
          <w:p>
            <w:pPr>
              <w:rPr>
                <w:sz w:val="20"/>
                <w:szCs w:val="20"/>
              </w:rPr>
            </w:pPr>
          </w:p>
        </w:tc>
        <w:tc>
          <w:tcPr>
            <w:tcW w:w="1395" w:type="pct"/>
            <w:vMerge w:val="continue"/>
            <w:vAlign w:val="center"/>
          </w:tcPr>
          <w:p>
            <w:pPr>
              <w:rPr>
                <w:sz w:val="20"/>
                <w:szCs w:val="20"/>
              </w:rPr>
            </w:pPr>
          </w:p>
        </w:tc>
        <w:tc>
          <w:tcPr>
            <w:tcW w:w="549" w:type="pct"/>
            <w:vMerge w:val="continue"/>
            <w:vAlign w:val="center"/>
          </w:tcPr>
          <w:p>
            <w:pPr>
              <w:rPr>
                <w:sz w:val="20"/>
                <w:szCs w:val="20"/>
              </w:rPr>
            </w:pPr>
          </w:p>
        </w:tc>
        <w:tc>
          <w:tcPr>
            <w:tcW w:w="549" w:type="pct"/>
            <w:vMerge w:val="continue"/>
            <w:vAlign w:val="center"/>
          </w:tcPr>
          <w:p>
            <w:pPr>
              <w:rPr>
                <w:sz w:val="20"/>
                <w:szCs w:val="20"/>
              </w:rPr>
            </w:pPr>
          </w:p>
        </w:tc>
        <w:tc>
          <w:tcPr>
            <w:tcW w:w="549" w:type="pct"/>
            <w:vMerge w:val="continue"/>
            <w:vAlign w:val="center"/>
          </w:tcPr>
          <w:p>
            <w:pPr>
              <w:rPr>
                <w:sz w:val="20"/>
                <w:szCs w:val="20"/>
              </w:rPr>
            </w:pPr>
          </w:p>
        </w:tc>
        <w:tc>
          <w:tcPr>
            <w:tcW w:w="549" w:type="pct"/>
            <w:vMerge w:val="continue"/>
            <w:vAlign w:val="center"/>
          </w:tcPr>
          <w:p>
            <w:pPr>
              <w:rPr>
                <w:sz w:val="20"/>
                <w:szCs w:val="20"/>
              </w:rPr>
            </w:pPr>
          </w:p>
        </w:tc>
        <w:tc>
          <w:tcPr>
            <w:tcW w:w="550" w:type="pct"/>
            <w:vMerge w:val="continue"/>
            <w:vAlign w:val="center"/>
          </w:tcPr>
          <w:p>
            <w:pPr>
              <w:rPr>
                <w:sz w:val="20"/>
                <w:szCs w:val="20"/>
              </w:rPr>
            </w:pPr>
          </w:p>
        </w:tc>
        <w:tc>
          <w:tcPr>
            <w:tcW w:w="549" w:type="pct"/>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704" w:type="pct"/>
            <w:gridSpan w:val="2"/>
            <w:shd w:val="clear" w:color="000000" w:fill="FFFFFF"/>
            <w:noWrap/>
            <w:tcMar>
              <w:top w:w="19" w:type="dxa"/>
              <w:left w:w="19" w:type="dxa"/>
              <w:bottom w:w="0" w:type="dxa"/>
              <w:right w:w="19" w:type="dxa"/>
            </w:tcMar>
            <w:vAlign w:val="center"/>
          </w:tcPr>
          <w:p>
            <w:pPr>
              <w:jc w:val="center"/>
              <w:rPr>
                <w:sz w:val="20"/>
                <w:szCs w:val="20"/>
              </w:rPr>
            </w:pPr>
            <w:r>
              <w:rPr>
                <w:rFonts w:hint="eastAsia" w:cs="宋体"/>
                <w:sz w:val="20"/>
                <w:szCs w:val="20"/>
              </w:rPr>
              <w:t>栏次</w:t>
            </w:r>
          </w:p>
        </w:tc>
        <w:tc>
          <w:tcPr>
            <w:tcW w:w="549" w:type="pct"/>
            <w:shd w:val="clear" w:color="000000" w:fill="FFFFFF"/>
            <w:noWrap/>
            <w:tcMar>
              <w:top w:w="19" w:type="dxa"/>
              <w:left w:w="19" w:type="dxa"/>
              <w:bottom w:w="0" w:type="dxa"/>
              <w:right w:w="19" w:type="dxa"/>
            </w:tcMar>
            <w:vAlign w:val="center"/>
          </w:tcPr>
          <w:p>
            <w:pPr>
              <w:jc w:val="center"/>
              <w:rPr>
                <w:sz w:val="20"/>
                <w:szCs w:val="20"/>
              </w:rPr>
            </w:pPr>
            <w:r>
              <w:rPr>
                <w:sz w:val="20"/>
                <w:szCs w:val="20"/>
              </w:rPr>
              <w:t>1</w:t>
            </w:r>
          </w:p>
        </w:tc>
        <w:tc>
          <w:tcPr>
            <w:tcW w:w="549" w:type="pct"/>
            <w:shd w:val="clear" w:color="000000" w:fill="FFFFFF"/>
            <w:noWrap/>
            <w:tcMar>
              <w:top w:w="19" w:type="dxa"/>
              <w:left w:w="19" w:type="dxa"/>
              <w:bottom w:w="0" w:type="dxa"/>
              <w:right w:w="19" w:type="dxa"/>
            </w:tcMar>
            <w:vAlign w:val="center"/>
          </w:tcPr>
          <w:p>
            <w:pPr>
              <w:jc w:val="center"/>
              <w:rPr>
                <w:sz w:val="20"/>
                <w:szCs w:val="20"/>
              </w:rPr>
            </w:pPr>
            <w:r>
              <w:rPr>
                <w:sz w:val="20"/>
                <w:szCs w:val="20"/>
              </w:rPr>
              <w:t>2</w:t>
            </w:r>
          </w:p>
        </w:tc>
        <w:tc>
          <w:tcPr>
            <w:tcW w:w="549" w:type="pct"/>
            <w:shd w:val="clear" w:color="000000" w:fill="FFFFFF"/>
            <w:noWrap/>
            <w:tcMar>
              <w:top w:w="19" w:type="dxa"/>
              <w:left w:w="19" w:type="dxa"/>
              <w:bottom w:w="0" w:type="dxa"/>
              <w:right w:w="19" w:type="dxa"/>
            </w:tcMar>
            <w:vAlign w:val="center"/>
          </w:tcPr>
          <w:p>
            <w:pPr>
              <w:jc w:val="center"/>
              <w:rPr>
                <w:sz w:val="20"/>
                <w:szCs w:val="20"/>
              </w:rPr>
            </w:pPr>
            <w:r>
              <w:rPr>
                <w:sz w:val="20"/>
                <w:szCs w:val="20"/>
              </w:rPr>
              <w:t>3</w:t>
            </w:r>
          </w:p>
        </w:tc>
        <w:tc>
          <w:tcPr>
            <w:tcW w:w="549" w:type="pct"/>
            <w:shd w:val="clear" w:color="000000" w:fill="FFFFFF"/>
            <w:noWrap/>
            <w:tcMar>
              <w:top w:w="19" w:type="dxa"/>
              <w:left w:w="19" w:type="dxa"/>
              <w:bottom w:w="0" w:type="dxa"/>
              <w:right w:w="19" w:type="dxa"/>
            </w:tcMar>
            <w:vAlign w:val="center"/>
          </w:tcPr>
          <w:p>
            <w:pPr>
              <w:jc w:val="center"/>
              <w:rPr>
                <w:sz w:val="20"/>
                <w:szCs w:val="20"/>
              </w:rPr>
            </w:pPr>
            <w:r>
              <w:rPr>
                <w:sz w:val="20"/>
                <w:szCs w:val="20"/>
              </w:rPr>
              <w:t>4</w:t>
            </w:r>
          </w:p>
        </w:tc>
        <w:tc>
          <w:tcPr>
            <w:tcW w:w="550" w:type="pct"/>
            <w:shd w:val="clear" w:color="000000" w:fill="FFFFFF"/>
            <w:noWrap/>
            <w:tcMar>
              <w:top w:w="19" w:type="dxa"/>
              <w:left w:w="19" w:type="dxa"/>
              <w:bottom w:w="0" w:type="dxa"/>
              <w:right w:w="19" w:type="dxa"/>
            </w:tcMar>
            <w:vAlign w:val="center"/>
          </w:tcPr>
          <w:p>
            <w:pPr>
              <w:jc w:val="center"/>
              <w:rPr>
                <w:sz w:val="20"/>
                <w:szCs w:val="20"/>
              </w:rPr>
            </w:pPr>
            <w:r>
              <w:rPr>
                <w:sz w:val="20"/>
                <w:szCs w:val="20"/>
              </w:rPr>
              <w:t>5</w:t>
            </w:r>
          </w:p>
        </w:tc>
        <w:tc>
          <w:tcPr>
            <w:tcW w:w="549" w:type="pct"/>
            <w:shd w:val="clear" w:color="000000" w:fill="FFFFFF"/>
            <w:noWrap/>
            <w:tcMar>
              <w:top w:w="19" w:type="dxa"/>
              <w:left w:w="19" w:type="dxa"/>
              <w:bottom w:w="0" w:type="dxa"/>
              <w:right w:w="19" w:type="dxa"/>
            </w:tcMar>
            <w:vAlign w:val="center"/>
          </w:tcPr>
          <w:p>
            <w:pPr>
              <w:jc w:val="center"/>
              <w:rPr>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704" w:type="pct"/>
            <w:gridSpan w:val="2"/>
            <w:shd w:val="clear" w:color="000000" w:fill="FFFFFF"/>
            <w:noWrap/>
            <w:tcMar>
              <w:top w:w="19" w:type="dxa"/>
              <w:left w:w="19" w:type="dxa"/>
              <w:bottom w:w="0" w:type="dxa"/>
              <w:right w:w="19" w:type="dxa"/>
            </w:tcMar>
            <w:vAlign w:val="center"/>
          </w:tcPr>
          <w:p>
            <w:pPr>
              <w:rPr>
                <w:sz w:val="20"/>
                <w:szCs w:val="20"/>
              </w:rPr>
            </w:pPr>
            <w:r>
              <w:rPr>
                <w:rFonts w:hint="eastAsia" w:cs="宋体"/>
                <w:sz w:val="20"/>
                <w:szCs w:val="20"/>
              </w:rPr>
              <w:t>合计</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2,254.56</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7,891.99</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5,431.44</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0.00</w:t>
            </w:r>
          </w:p>
        </w:tc>
        <w:tc>
          <w:tcPr>
            <w:tcW w:w="550"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5,431.44</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4,715.11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09" w:type="pct"/>
            <w:shd w:val="clear" w:color="000000" w:fill="FFFFFF"/>
            <w:noWrap/>
            <w:tcMar>
              <w:top w:w="19" w:type="dxa"/>
              <w:left w:w="19" w:type="dxa"/>
              <w:bottom w:w="0" w:type="dxa"/>
              <w:right w:w="19" w:type="dxa"/>
            </w:tcMar>
            <w:vAlign w:val="center"/>
          </w:tcPr>
          <w:p>
            <w:pPr>
              <w:rPr>
                <w:b/>
                <w:bCs/>
                <w:sz w:val="20"/>
                <w:szCs w:val="20"/>
              </w:rPr>
            </w:pPr>
            <w:r>
              <w:rPr>
                <w:b/>
                <w:bCs/>
                <w:sz w:val="20"/>
                <w:szCs w:val="20"/>
              </w:rPr>
              <w:t>229</w:t>
            </w:r>
          </w:p>
        </w:tc>
        <w:tc>
          <w:tcPr>
            <w:tcW w:w="1395" w:type="pct"/>
            <w:shd w:val="clear" w:color="000000" w:fill="FFFFFF"/>
            <w:noWrap/>
            <w:tcMar>
              <w:top w:w="19" w:type="dxa"/>
              <w:left w:w="19" w:type="dxa"/>
              <w:bottom w:w="0" w:type="dxa"/>
              <w:right w:w="19" w:type="dxa"/>
            </w:tcMar>
            <w:vAlign w:val="center"/>
          </w:tcPr>
          <w:p>
            <w:pPr>
              <w:rPr>
                <w:b/>
                <w:bCs/>
                <w:sz w:val="20"/>
                <w:szCs w:val="20"/>
              </w:rPr>
            </w:pPr>
            <w:r>
              <w:rPr>
                <w:rFonts w:hint="eastAsia" w:cs="宋体"/>
                <w:b/>
                <w:bCs/>
                <w:sz w:val="20"/>
                <w:szCs w:val="20"/>
              </w:rPr>
              <w:t>其他支出</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2,254.56</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7,891.99</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5,431.44</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0.00</w:t>
            </w:r>
          </w:p>
        </w:tc>
        <w:tc>
          <w:tcPr>
            <w:tcW w:w="550"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5,431.44</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4,715.11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09" w:type="pct"/>
            <w:shd w:val="clear" w:color="000000" w:fill="FFFFFF"/>
            <w:noWrap/>
            <w:tcMar>
              <w:top w:w="19" w:type="dxa"/>
              <w:left w:w="19" w:type="dxa"/>
              <w:bottom w:w="0" w:type="dxa"/>
              <w:right w:w="19" w:type="dxa"/>
            </w:tcMar>
            <w:vAlign w:val="center"/>
          </w:tcPr>
          <w:p>
            <w:pPr>
              <w:rPr>
                <w:b/>
                <w:bCs/>
                <w:sz w:val="20"/>
                <w:szCs w:val="20"/>
              </w:rPr>
            </w:pPr>
            <w:r>
              <w:rPr>
                <w:b/>
                <w:bCs/>
                <w:sz w:val="20"/>
                <w:szCs w:val="20"/>
              </w:rPr>
              <w:t>22960</w:t>
            </w:r>
          </w:p>
        </w:tc>
        <w:tc>
          <w:tcPr>
            <w:tcW w:w="1395" w:type="pct"/>
            <w:shd w:val="clear" w:color="000000" w:fill="FFFFFF"/>
            <w:noWrap/>
            <w:tcMar>
              <w:top w:w="19" w:type="dxa"/>
              <w:left w:w="19" w:type="dxa"/>
              <w:bottom w:w="0" w:type="dxa"/>
              <w:right w:w="19" w:type="dxa"/>
            </w:tcMar>
            <w:vAlign w:val="center"/>
          </w:tcPr>
          <w:p>
            <w:pPr>
              <w:rPr>
                <w:b/>
                <w:bCs/>
                <w:sz w:val="20"/>
                <w:szCs w:val="20"/>
              </w:rPr>
            </w:pPr>
            <w:r>
              <w:rPr>
                <w:rFonts w:hint="eastAsia" w:cs="宋体"/>
                <w:b/>
                <w:bCs/>
                <w:sz w:val="20"/>
                <w:szCs w:val="20"/>
              </w:rPr>
              <w:t>彩票公益金及对应专项债务收入安排的支出</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2,254.56</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7,891.99</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5,431.44</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0.00</w:t>
            </w:r>
          </w:p>
        </w:tc>
        <w:tc>
          <w:tcPr>
            <w:tcW w:w="550"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5,431.44</w:t>
            </w:r>
          </w:p>
        </w:tc>
        <w:tc>
          <w:tcPr>
            <w:tcW w:w="549" w:type="pct"/>
            <w:shd w:val="clear" w:color="000000" w:fill="FFFFFF"/>
            <w:noWrap/>
            <w:tcMar>
              <w:top w:w="19" w:type="dxa"/>
              <w:left w:w="19" w:type="dxa"/>
              <w:bottom w:w="0" w:type="dxa"/>
              <w:right w:w="19" w:type="dxa"/>
            </w:tcMar>
            <w:vAlign w:val="center"/>
          </w:tcPr>
          <w:p>
            <w:pPr>
              <w:jc w:val="right"/>
              <w:rPr>
                <w:b/>
                <w:bCs/>
                <w:sz w:val="20"/>
                <w:szCs w:val="20"/>
              </w:rPr>
            </w:pPr>
            <w:r>
              <w:rPr>
                <w:b/>
                <w:bCs/>
                <w:sz w:val="20"/>
                <w:szCs w:val="20"/>
              </w:rPr>
              <w:t>4,715.11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09" w:type="pct"/>
            <w:shd w:val="clear" w:color="000000" w:fill="FFFFFF"/>
            <w:noWrap/>
            <w:tcMar>
              <w:top w:w="19" w:type="dxa"/>
              <w:left w:w="19" w:type="dxa"/>
              <w:bottom w:w="0" w:type="dxa"/>
              <w:right w:w="19" w:type="dxa"/>
            </w:tcMar>
            <w:vAlign w:val="center"/>
          </w:tcPr>
          <w:p>
            <w:pPr>
              <w:rPr>
                <w:sz w:val="20"/>
                <w:szCs w:val="20"/>
              </w:rPr>
            </w:pPr>
            <w:r>
              <w:rPr>
                <w:sz w:val="20"/>
                <w:szCs w:val="20"/>
              </w:rPr>
              <w:t>2296002</w:t>
            </w:r>
          </w:p>
        </w:tc>
        <w:tc>
          <w:tcPr>
            <w:tcW w:w="1395" w:type="pct"/>
            <w:shd w:val="clear" w:color="000000" w:fill="FFFFFF"/>
            <w:noWrap/>
            <w:tcMar>
              <w:top w:w="19" w:type="dxa"/>
              <w:left w:w="19" w:type="dxa"/>
              <w:bottom w:w="0" w:type="dxa"/>
              <w:right w:w="19" w:type="dxa"/>
            </w:tcMar>
            <w:vAlign w:val="center"/>
          </w:tcPr>
          <w:p>
            <w:pPr>
              <w:rPr>
                <w:sz w:val="20"/>
                <w:szCs w:val="20"/>
              </w:rPr>
            </w:pPr>
            <w:r>
              <w:rPr>
                <w:sz w:val="20"/>
                <w:szCs w:val="20"/>
              </w:rPr>
              <w:t xml:space="preserve">  </w:t>
            </w:r>
            <w:r>
              <w:rPr>
                <w:rFonts w:hint="eastAsia" w:cs="宋体"/>
                <w:sz w:val="20"/>
                <w:szCs w:val="20"/>
              </w:rPr>
              <w:t>用于社会福利的彩票公益金支出</w:t>
            </w:r>
          </w:p>
        </w:tc>
        <w:tc>
          <w:tcPr>
            <w:tcW w:w="549" w:type="pct"/>
            <w:shd w:val="clear" w:color="000000" w:fill="FFFFFF"/>
            <w:noWrap/>
            <w:tcMar>
              <w:top w:w="19" w:type="dxa"/>
              <w:left w:w="19" w:type="dxa"/>
              <w:bottom w:w="0" w:type="dxa"/>
              <w:right w:w="19" w:type="dxa"/>
            </w:tcMar>
            <w:vAlign w:val="center"/>
          </w:tcPr>
          <w:p>
            <w:pPr>
              <w:jc w:val="right"/>
              <w:rPr>
                <w:sz w:val="20"/>
                <w:szCs w:val="20"/>
              </w:rPr>
            </w:pPr>
            <w:r>
              <w:rPr>
                <w:sz w:val="20"/>
                <w:szCs w:val="20"/>
              </w:rPr>
              <w:t>2,254.56</w:t>
            </w:r>
          </w:p>
        </w:tc>
        <w:tc>
          <w:tcPr>
            <w:tcW w:w="549" w:type="pct"/>
            <w:shd w:val="clear" w:color="000000" w:fill="FFFFFF"/>
            <w:noWrap/>
            <w:tcMar>
              <w:top w:w="19" w:type="dxa"/>
              <w:left w:w="19" w:type="dxa"/>
              <w:bottom w:w="0" w:type="dxa"/>
              <w:right w:w="19" w:type="dxa"/>
            </w:tcMar>
            <w:vAlign w:val="center"/>
          </w:tcPr>
          <w:p>
            <w:pPr>
              <w:jc w:val="right"/>
              <w:rPr>
                <w:sz w:val="20"/>
                <w:szCs w:val="20"/>
              </w:rPr>
            </w:pPr>
            <w:r>
              <w:rPr>
                <w:sz w:val="20"/>
                <w:szCs w:val="20"/>
              </w:rPr>
              <w:t>7,891.99</w:t>
            </w:r>
          </w:p>
        </w:tc>
        <w:tc>
          <w:tcPr>
            <w:tcW w:w="549"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5,431.44</w:t>
            </w:r>
          </w:p>
        </w:tc>
        <w:tc>
          <w:tcPr>
            <w:tcW w:w="549" w:type="pct"/>
            <w:shd w:val="clear" w:color="000000" w:fill="FFFFFF"/>
            <w:noWrap/>
            <w:tcMar>
              <w:top w:w="19" w:type="dxa"/>
              <w:left w:w="19" w:type="dxa"/>
              <w:bottom w:w="0" w:type="dxa"/>
              <w:right w:w="19" w:type="dxa"/>
            </w:tcMar>
            <w:vAlign w:val="center"/>
          </w:tcPr>
          <w:p>
            <w:pPr>
              <w:jc w:val="right"/>
              <w:rPr>
                <w:sz w:val="20"/>
                <w:szCs w:val="20"/>
              </w:rPr>
            </w:pPr>
            <w:r>
              <w:rPr>
                <w:sz w:val="20"/>
                <w:szCs w:val="20"/>
              </w:rPr>
              <w:t>0.00</w:t>
            </w:r>
          </w:p>
        </w:tc>
        <w:tc>
          <w:tcPr>
            <w:tcW w:w="550" w:type="pct"/>
            <w:shd w:val="clear" w:color="000000" w:fill="FFFFFF"/>
            <w:noWrap/>
            <w:tcMar>
              <w:top w:w="19" w:type="dxa"/>
              <w:left w:w="19" w:type="dxa"/>
              <w:bottom w:w="0" w:type="dxa"/>
              <w:right w:w="19" w:type="dxa"/>
            </w:tcMar>
            <w:vAlign w:val="center"/>
          </w:tcPr>
          <w:p>
            <w:pPr>
              <w:jc w:val="right"/>
              <w:rPr>
                <w:sz w:val="20"/>
                <w:szCs w:val="20"/>
              </w:rPr>
            </w:pPr>
            <w:r>
              <w:rPr>
                <w:sz w:val="20"/>
                <w:szCs w:val="20"/>
              </w:rPr>
              <w:t>5,431.44</w:t>
            </w:r>
          </w:p>
        </w:tc>
        <w:tc>
          <w:tcPr>
            <w:tcW w:w="549" w:type="pct"/>
            <w:shd w:val="clear" w:color="000000" w:fill="FFFFFF"/>
            <w:noWrap/>
            <w:tcMar>
              <w:top w:w="19" w:type="dxa"/>
              <w:left w:w="19" w:type="dxa"/>
              <w:bottom w:w="0" w:type="dxa"/>
              <w:right w:w="19" w:type="dxa"/>
            </w:tcMar>
            <w:vAlign w:val="center"/>
          </w:tcPr>
          <w:p>
            <w:pPr>
              <w:jc w:val="right"/>
              <w:rPr>
                <w:sz w:val="20"/>
                <w:szCs w:val="20"/>
              </w:rPr>
            </w:pPr>
            <w:r>
              <w:rPr>
                <w:sz w:val="20"/>
                <w:szCs w:val="20"/>
              </w:rPr>
              <w:t>4,715.11</w:t>
            </w:r>
          </w:p>
        </w:tc>
      </w:tr>
    </w:tbl>
    <w:p>
      <w:pPr>
        <w:topLinePunct/>
        <w:spacing w:line="500" w:lineRule="exact"/>
        <w:rPr>
          <w:rFonts w:eastAsia="黑体"/>
        </w:rPr>
        <w:sectPr>
          <w:pgSz w:w="16838" w:h="11906" w:orient="landscape"/>
          <w:pgMar w:top="1985" w:right="1474" w:bottom="1361" w:left="1588" w:header="0" w:footer="1418" w:gutter="0"/>
          <w:cols w:space="425" w:num="1"/>
          <w:docGrid w:linePitch="312" w:charSpace="0"/>
        </w:sectPr>
      </w:pPr>
      <w:r>
        <w:rPr>
          <w:rFonts w:hint="eastAsia" w:cs="宋体"/>
        </w:rPr>
        <w:t>注：本表反映部门本年度政府性基金预算财政拨款收入、支出及结转和结余情况（若本表为空表，需说明本单位无政府性基金收支）。</w:t>
      </w:r>
      <w:r>
        <w:rPr>
          <w:rFonts w:eastAsia="黑体"/>
        </w:rPr>
        <w:t xml:space="preserve"> </w:t>
      </w:r>
    </w:p>
    <w:p>
      <w:pPr>
        <w:topLinePunct/>
        <w:spacing w:line="560" w:lineRule="exact"/>
        <w:jc w:val="center"/>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省民政厅</w:t>
      </w:r>
      <w:r>
        <w:rPr>
          <w:rFonts w:eastAsia="黑体"/>
          <w:sz w:val="32"/>
          <w:szCs w:val="32"/>
        </w:rPr>
        <w:t>2018</w:t>
      </w:r>
      <w:r>
        <w:rPr>
          <w:rFonts w:hint="eastAsia" w:eastAsia="黑体" w:cs="黑体"/>
          <w:sz w:val="32"/>
          <w:szCs w:val="32"/>
        </w:rPr>
        <w:t>年度部门决算情况说明</w:t>
      </w:r>
    </w:p>
    <w:p>
      <w:pPr>
        <w:topLinePunct/>
        <w:spacing w:line="560" w:lineRule="exact"/>
        <w:ind w:firstLine="640" w:firstLineChars="200"/>
        <w:rPr>
          <w:rFonts w:eastAsia="Times New Roman"/>
          <w:b/>
          <w:bCs/>
          <w:sz w:val="32"/>
          <w:szCs w:val="32"/>
        </w:rPr>
      </w:pPr>
    </w:p>
    <w:p>
      <w:pPr>
        <w:topLinePunct/>
        <w:spacing w:line="560" w:lineRule="exact"/>
        <w:ind w:firstLine="640" w:firstLineChars="200"/>
        <w:rPr>
          <w:rFonts w:ascii="黑体" w:eastAsia="黑体"/>
          <w:sz w:val="32"/>
          <w:szCs w:val="32"/>
        </w:rPr>
      </w:pPr>
      <w:r>
        <w:rPr>
          <w:rFonts w:hint="eastAsia" w:ascii="黑体" w:eastAsia="黑体" w:cs="黑体"/>
          <w:sz w:val="32"/>
          <w:szCs w:val="32"/>
        </w:rPr>
        <w:t>一、收入支出决算总体情况说明</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年度收、支总计</w:t>
      </w:r>
      <w:r>
        <w:rPr>
          <w:rFonts w:eastAsia="方正仿宋简体"/>
          <w:sz w:val="32"/>
          <w:szCs w:val="32"/>
        </w:rPr>
        <w:t>49048.61</w:t>
      </w:r>
      <w:r>
        <w:rPr>
          <w:rFonts w:hint="eastAsia" w:eastAsia="方正仿宋简体" w:cs="方正仿宋简体"/>
          <w:sz w:val="32"/>
          <w:szCs w:val="32"/>
        </w:rPr>
        <w:t>万元，与</w:t>
      </w:r>
      <w:r>
        <w:rPr>
          <w:rFonts w:eastAsia="方正仿宋简体"/>
          <w:sz w:val="32"/>
          <w:szCs w:val="32"/>
        </w:rPr>
        <w:t>2017</w:t>
      </w:r>
      <w:r>
        <w:rPr>
          <w:rFonts w:hint="eastAsia" w:eastAsia="方正仿宋简体" w:cs="方正仿宋简体"/>
          <w:sz w:val="32"/>
          <w:szCs w:val="32"/>
        </w:rPr>
        <w:t>年相比，收、支总计各增加</w:t>
      </w:r>
      <w:r>
        <w:rPr>
          <w:rFonts w:eastAsia="方正仿宋简体"/>
          <w:sz w:val="32"/>
          <w:szCs w:val="32"/>
        </w:rPr>
        <w:t>1688.79</w:t>
      </w:r>
      <w:r>
        <w:rPr>
          <w:rFonts w:hint="eastAsia" w:eastAsia="方正仿宋简体" w:cs="方正仿宋简体"/>
          <w:sz w:val="32"/>
          <w:szCs w:val="32"/>
        </w:rPr>
        <w:t>万元，增长</w:t>
      </w:r>
      <w:r>
        <w:rPr>
          <w:rFonts w:eastAsia="方正仿宋简体"/>
          <w:sz w:val="32"/>
          <w:szCs w:val="32"/>
        </w:rPr>
        <w:t>3.57%</w:t>
      </w:r>
      <w:r>
        <w:rPr>
          <w:rFonts w:hint="eastAsia" w:eastAsia="方正仿宋简体" w:cs="方正仿宋简体"/>
          <w:sz w:val="32"/>
          <w:szCs w:val="32"/>
        </w:rPr>
        <w:t>。主要原因是财政拨款收支有所增加。</w:t>
      </w:r>
    </w:p>
    <w:p>
      <w:pPr>
        <w:topLinePunct/>
        <w:spacing w:line="560" w:lineRule="exact"/>
        <w:ind w:firstLine="640" w:firstLineChars="200"/>
        <w:rPr>
          <w:rFonts w:ascii="黑体" w:eastAsia="黑体"/>
          <w:sz w:val="32"/>
          <w:szCs w:val="32"/>
        </w:rPr>
      </w:pPr>
      <w:r>
        <w:rPr>
          <w:rFonts w:hint="eastAsia" w:ascii="黑体" w:eastAsia="黑体" w:cs="黑体"/>
          <w:sz w:val="32"/>
          <w:szCs w:val="32"/>
        </w:rPr>
        <w:t>二、收入决算情况说明</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本年收入合计</w:t>
      </w:r>
      <w:r>
        <w:rPr>
          <w:rFonts w:eastAsia="方正仿宋简体"/>
          <w:sz w:val="32"/>
          <w:szCs w:val="32"/>
        </w:rPr>
        <w:t>39520.83</w:t>
      </w:r>
      <w:r>
        <w:rPr>
          <w:rFonts w:hint="eastAsia" w:eastAsia="方正仿宋简体" w:cs="方正仿宋简体"/>
          <w:sz w:val="32"/>
          <w:szCs w:val="32"/>
        </w:rPr>
        <w:t>万元，其中：财政拨款收入</w:t>
      </w:r>
      <w:r>
        <w:rPr>
          <w:rFonts w:eastAsia="方正仿宋简体"/>
          <w:sz w:val="32"/>
          <w:szCs w:val="32"/>
        </w:rPr>
        <w:t>23864.23</w:t>
      </w:r>
      <w:r>
        <w:rPr>
          <w:rFonts w:hint="eastAsia" w:eastAsia="方正仿宋简体" w:cs="方正仿宋简体"/>
          <w:sz w:val="32"/>
          <w:szCs w:val="32"/>
        </w:rPr>
        <w:t>万元，占</w:t>
      </w:r>
      <w:r>
        <w:rPr>
          <w:rFonts w:eastAsia="方正仿宋简体"/>
          <w:sz w:val="32"/>
          <w:szCs w:val="32"/>
        </w:rPr>
        <w:t>60.38%</w:t>
      </w:r>
      <w:r>
        <w:rPr>
          <w:rFonts w:hint="eastAsia" w:eastAsia="方正仿宋简体" w:cs="方正仿宋简体"/>
          <w:sz w:val="32"/>
          <w:szCs w:val="32"/>
        </w:rPr>
        <w:t>；事业收入</w:t>
      </w:r>
      <w:r>
        <w:rPr>
          <w:rFonts w:eastAsia="方正仿宋简体"/>
          <w:sz w:val="32"/>
          <w:szCs w:val="32"/>
        </w:rPr>
        <w:t>67</w:t>
      </w:r>
      <w:r>
        <w:rPr>
          <w:rFonts w:hint="eastAsia" w:eastAsia="方正仿宋简体" w:cs="方正仿宋简体"/>
          <w:sz w:val="32"/>
          <w:szCs w:val="32"/>
        </w:rPr>
        <w:t>万元，占</w:t>
      </w:r>
      <w:r>
        <w:rPr>
          <w:rFonts w:eastAsia="方正仿宋简体"/>
          <w:sz w:val="32"/>
          <w:szCs w:val="32"/>
        </w:rPr>
        <w:t>0.17%</w:t>
      </w:r>
      <w:r>
        <w:rPr>
          <w:rFonts w:hint="eastAsia" w:eastAsia="方正仿宋简体" w:cs="方正仿宋简体"/>
          <w:sz w:val="32"/>
          <w:szCs w:val="32"/>
        </w:rPr>
        <w:t>；经营收入</w:t>
      </w:r>
      <w:r>
        <w:rPr>
          <w:rFonts w:eastAsia="方正仿宋简体"/>
          <w:sz w:val="32"/>
          <w:szCs w:val="32"/>
        </w:rPr>
        <w:t>7068.40</w:t>
      </w:r>
      <w:r>
        <w:rPr>
          <w:rFonts w:hint="eastAsia" w:eastAsia="方正仿宋简体" w:cs="方正仿宋简体"/>
          <w:sz w:val="32"/>
          <w:szCs w:val="32"/>
        </w:rPr>
        <w:t>万元，占</w:t>
      </w:r>
      <w:r>
        <w:rPr>
          <w:rFonts w:eastAsia="方正仿宋简体"/>
          <w:sz w:val="32"/>
          <w:szCs w:val="32"/>
        </w:rPr>
        <w:t>17.89%</w:t>
      </w:r>
      <w:r>
        <w:rPr>
          <w:rFonts w:hint="eastAsia" w:eastAsia="方正仿宋简体" w:cs="方正仿宋简体"/>
          <w:sz w:val="32"/>
          <w:szCs w:val="32"/>
        </w:rPr>
        <w:t>；其他收入</w:t>
      </w:r>
      <w:r>
        <w:rPr>
          <w:rFonts w:eastAsia="方正仿宋简体"/>
          <w:sz w:val="32"/>
          <w:szCs w:val="32"/>
        </w:rPr>
        <w:t>8521.21</w:t>
      </w:r>
      <w:r>
        <w:rPr>
          <w:rFonts w:hint="eastAsia" w:eastAsia="方正仿宋简体" w:cs="方正仿宋简体"/>
          <w:sz w:val="32"/>
          <w:szCs w:val="32"/>
        </w:rPr>
        <w:t>万元，占</w:t>
      </w:r>
      <w:r>
        <w:rPr>
          <w:rFonts w:eastAsia="方正仿宋简体"/>
          <w:sz w:val="32"/>
          <w:szCs w:val="32"/>
        </w:rPr>
        <w:t>21.56%</w:t>
      </w:r>
      <w:r>
        <w:rPr>
          <w:rFonts w:hint="eastAsia" w:eastAsia="方正仿宋简体" w:cs="方正仿宋简体"/>
          <w:sz w:val="32"/>
          <w:szCs w:val="32"/>
        </w:rPr>
        <w:t>。</w:t>
      </w:r>
    </w:p>
    <w:p>
      <w:pPr>
        <w:topLinePunct/>
        <w:spacing w:line="560" w:lineRule="exact"/>
        <w:ind w:firstLine="640" w:firstLineChars="200"/>
        <w:rPr>
          <w:rFonts w:ascii="黑体" w:eastAsia="黑体"/>
          <w:sz w:val="32"/>
          <w:szCs w:val="32"/>
        </w:rPr>
      </w:pPr>
      <w:r>
        <w:rPr>
          <w:rFonts w:hint="eastAsia" w:ascii="黑体" w:eastAsia="黑体" w:cs="黑体"/>
          <w:sz w:val="32"/>
          <w:szCs w:val="32"/>
        </w:rPr>
        <w:t>三、支出决算情况说明</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本年支出合计</w:t>
      </w:r>
      <w:r>
        <w:rPr>
          <w:rFonts w:eastAsia="方正仿宋简体"/>
          <w:sz w:val="32"/>
          <w:szCs w:val="32"/>
        </w:rPr>
        <w:t>38849.02</w:t>
      </w:r>
      <w:r>
        <w:rPr>
          <w:rFonts w:hint="eastAsia" w:eastAsia="方正仿宋简体" w:cs="方正仿宋简体"/>
          <w:sz w:val="32"/>
          <w:szCs w:val="32"/>
        </w:rPr>
        <w:t>万元，其中：基本支出</w:t>
      </w:r>
      <w:r>
        <w:rPr>
          <w:rFonts w:eastAsia="方正仿宋简体"/>
          <w:sz w:val="32"/>
          <w:szCs w:val="32"/>
        </w:rPr>
        <w:t>9703.69</w:t>
      </w:r>
      <w:r>
        <w:rPr>
          <w:rFonts w:hint="eastAsia" w:eastAsia="方正仿宋简体" w:cs="方正仿宋简体"/>
          <w:sz w:val="32"/>
          <w:szCs w:val="32"/>
        </w:rPr>
        <w:t>万元，占</w:t>
      </w:r>
      <w:r>
        <w:rPr>
          <w:rFonts w:eastAsia="方正仿宋简体"/>
          <w:sz w:val="32"/>
          <w:szCs w:val="32"/>
        </w:rPr>
        <w:t>24.98%</w:t>
      </w:r>
      <w:r>
        <w:rPr>
          <w:rFonts w:hint="eastAsia" w:eastAsia="方正仿宋简体" w:cs="方正仿宋简体"/>
          <w:sz w:val="32"/>
          <w:szCs w:val="32"/>
        </w:rPr>
        <w:t>；项目支出</w:t>
      </w:r>
      <w:r>
        <w:rPr>
          <w:rFonts w:eastAsia="方正仿宋简体"/>
          <w:sz w:val="32"/>
          <w:szCs w:val="32"/>
        </w:rPr>
        <w:t>20900.65</w:t>
      </w:r>
      <w:r>
        <w:rPr>
          <w:rFonts w:hint="eastAsia" w:eastAsia="方正仿宋简体" w:cs="方正仿宋简体"/>
          <w:sz w:val="32"/>
          <w:szCs w:val="32"/>
        </w:rPr>
        <w:t>万元，占</w:t>
      </w:r>
      <w:r>
        <w:rPr>
          <w:rFonts w:eastAsia="方正仿宋简体"/>
          <w:sz w:val="32"/>
          <w:szCs w:val="32"/>
        </w:rPr>
        <w:t>53.80%</w:t>
      </w:r>
      <w:r>
        <w:rPr>
          <w:rFonts w:hint="eastAsia" w:eastAsia="方正仿宋简体" w:cs="方正仿宋简体"/>
          <w:sz w:val="32"/>
          <w:szCs w:val="32"/>
        </w:rPr>
        <w:t>；经营支出</w:t>
      </w:r>
      <w:r>
        <w:rPr>
          <w:rFonts w:eastAsia="方正仿宋简体"/>
          <w:sz w:val="32"/>
          <w:szCs w:val="32"/>
        </w:rPr>
        <w:t>8244.67</w:t>
      </w:r>
      <w:r>
        <w:rPr>
          <w:rFonts w:hint="eastAsia" w:eastAsia="方正仿宋简体" w:cs="方正仿宋简体"/>
          <w:sz w:val="32"/>
          <w:szCs w:val="32"/>
        </w:rPr>
        <w:t>万元，占</w:t>
      </w:r>
      <w:r>
        <w:rPr>
          <w:rFonts w:eastAsia="方正仿宋简体"/>
          <w:sz w:val="32"/>
          <w:szCs w:val="32"/>
        </w:rPr>
        <w:t>21.22%</w:t>
      </w:r>
      <w:r>
        <w:rPr>
          <w:rFonts w:hint="eastAsia" w:eastAsia="方正仿宋简体" w:cs="方正仿宋简体"/>
          <w:sz w:val="32"/>
          <w:szCs w:val="32"/>
        </w:rPr>
        <w:t>。</w:t>
      </w:r>
    </w:p>
    <w:p>
      <w:pPr>
        <w:topLinePunct/>
        <w:spacing w:line="560" w:lineRule="exact"/>
        <w:ind w:firstLine="640" w:firstLineChars="200"/>
        <w:rPr>
          <w:rFonts w:ascii="黑体" w:eastAsia="黑体"/>
          <w:sz w:val="32"/>
          <w:szCs w:val="32"/>
        </w:rPr>
      </w:pPr>
      <w:r>
        <w:rPr>
          <w:rFonts w:hint="eastAsia" w:ascii="黑体" w:eastAsia="黑体" w:cs="黑体"/>
          <w:sz w:val="32"/>
          <w:szCs w:val="32"/>
        </w:rPr>
        <w:t>四、财政拨款收入支出决算总体情况说明</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年度财政拨款收支总决算</w:t>
      </w:r>
      <w:r>
        <w:rPr>
          <w:rFonts w:eastAsia="方正仿宋简体"/>
          <w:sz w:val="32"/>
          <w:szCs w:val="32"/>
        </w:rPr>
        <w:t>29664.83</w:t>
      </w:r>
      <w:r>
        <w:rPr>
          <w:rFonts w:hint="eastAsia" w:eastAsia="方正仿宋简体" w:cs="方正仿宋简体"/>
          <w:sz w:val="32"/>
          <w:szCs w:val="32"/>
        </w:rPr>
        <w:t>万元，与</w:t>
      </w:r>
      <w:r>
        <w:rPr>
          <w:rFonts w:eastAsia="方正仿宋简体"/>
          <w:sz w:val="32"/>
          <w:szCs w:val="32"/>
        </w:rPr>
        <w:t>2017</w:t>
      </w:r>
      <w:r>
        <w:rPr>
          <w:rFonts w:hint="eastAsia" w:eastAsia="方正仿宋简体" w:cs="方正仿宋简体"/>
          <w:sz w:val="32"/>
          <w:szCs w:val="32"/>
        </w:rPr>
        <w:t>年相比，财政拨款收、支总计各增加</w:t>
      </w:r>
      <w:r>
        <w:rPr>
          <w:rFonts w:eastAsia="方正仿宋简体"/>
          <w:sz w:val="32"/>
          <w:szCs w:val="32"/>
        </w:rPr>
        <w:t>2848.07</w:t>
      </w:r>
      <w:r>
        <w:rPr>
          <w:rFonts w:hint="eastAsia" w:eastAsia="方正仿宋简体" w:cs="方正仿宋简体"/>
          <w:sz w:val="32"/>
          <w:szCs w:val="32"/>
        </w:rPr>
        <w:t>万元，增长</w:t>
      </w:r>
      <w:r>
        <w:rPr>
          <w:rFonts w:eastAsia="方正仿宋简体"/>
          <w:sz w:val="32"/>
          <w:szCs w:val="32"/>
        </w:rPr>
        <w:t>10.62%</w:t>
      </w:r>
      <w:r>
        <w:rPr>
          <w:rFonts w:hint="eastAsia" w:eastAsia="方正仿宋简体" w:cs="方正仿宋简体"/>
          <w:sz w:val="32"/>
          <w:szCs w:val="32"/>
        </w:rPr>
        <w:t>。主要原因是政府性基金预算财政拨款有所增加。</w:t>
      </w:r>
    </w:p>
    <w:p>
      <w:pPr>
        <w:topLinePunct/>
        <w:spacing w:line="560" w:lineRule="exact"/>
        <w:ind w:firstLine="640" w:firstLineChars="200"/>
        <w:rPr>
          <w:rFonts w:ascii="黑体" w:eastAsia="黑体"/>
          <w:sz w:val="32"/>
          <w:szCs w:val="32"/>
        </w:rPr>
      </w:pPr>
      <w:r>
        <w:rPr>
          <w:rFonts w:hint="eastAsia" w:ascii="黑体" w:eastAsia="黑体" w:cs="黑体"/>
          <w:sz w:val="32"/>
          <w:szCs w:val="32"/>
        </w:rPr>
        <w:t>五、一般公共预算财政拨款支出决算情况说明</w:t>
      </w:r>
    </w:p>
    <w:p>
      <w:pPr>
        <w:topLinePunct/>
        <w:spacing w:line="56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（一）财政拨款支出决算总体情况。</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年度一般公共预算财政拨款支出</w:t>
      </w:r>
      <w:r>
        <w:rPr>
          <w:rFonts w:eastAsia="方正仿宋简体"/>
          <w:sz w:val="32"/>
          <w:szCs w:val="32"/>
        </w:rPr>
        <w:t>17422.71</w:t>
      </w:r>
      <w:r>
        <w:rPr>
          <w:rFonts w:hint="eastAsia" w:eastAsia="方正仿宋简体" w:cs="方正仿宋简体"/>
          <w:sz w:val="32"/>
          <w:szCs w:val="32"/>
        </w:rPr>
        <w:t>万元，占本年支出合计的</w:t>
      </w:r>
      <w:r>
        <w:rPr>
          <w:rFonts w:eastAsia="方正仿宋简体"/>
          <w:sz w:val="32"/>
          <w:szCs w:val="32"/>
        </w:rPr>
        <w:t>44.85%</w:t>
      </w:r>
      <w:r>
        <w:rPr>
          <w:rFonts w:hint="eastAsia" w:eastAsia="方正仿宋简体" w:cs="方正仿宋简体"/>
          <w:sz w:val="32"/>
          <w:szCs w:val="32"/>
        </w:rPr>
        <w:t>，与</w:t>
      </w:r>
      <w:r>
        <w:rPr>
          <w:rFonts w:eastAsia="方正仿宋简体"/>
          <w:sz w:val="32"/>
          <w:szCs w:val="32"/>
        </w:rPr>
        <w:t>2017</w:t>
      </w:r>
      <w:r>
        <w:rPr>
          <w:rFonts w:hint="eastAsia" w:eastAsia="方正仿宋简体" w:cs="方正仿宋简体"/>
          <w:sz w:val="32"/>
          <w:szCs w:val="32"/>
        </w:rPr>
        <w:t>年相比，增加</w:t>
      </w:r>
      <w:r>
        <w:rPr>
          <w:rFonts w:eastAsia="方正仿宋简体"/>
          <w:sz w:val="32"/>
          <w:szCs w:val="32"/>
        </w:rPr>
        <w:t>2787.64</w:t>
      </w:r>
      <w:r>
        <w:rPr>
          <w:rFonts w:hint="eastAsia" w:eastAsia="方正仿宋简体" w:cs="方正仿宋简体"/>
          <w:sz w:val="32"/>
          <w:szCs w:val="32"/>
        </w:rPr>
        <w:t>万元，增长</w:t>
      </w:r>
      <w:r>
        <w:rPr>
          <w:rFonts w:eastAsia="方正仿宋简体"/>
          <w:sz w:val="32"/>
          <w:szCs w:val="32"/>
        </w:rPr>
        <w:t>19.05%</w:t>
      </w:r>
      <w:r>
        <w:rPr>
          <w:rFonts w:hint="eastAsia" w:eastAsia="方正仿宋简体" w:cs="方正仿宋简体"/>
          <w:sz w:val="32"/>
          <w:szCs w:val="32"/>
        </w:rPr>
        <w:t>，主要原因是人员经费和部分项目支出有所增加。</w:t>
      </w:r>
    </w:p>
    <w:p>
      <w:pPr>
        <w:topLinePunct/>
        <w:spacing w:line="56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（二）财政拨款支出决算结构情况。</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年度一般公共预算财政拨款支出</w:t>
      </w:r>
      <w:r>
        <w:rPr>
          <w:rFonts w:eastAsia="方正仿宋简体"/>
          <w:sz w:val="32"/>
          <w:szCs w:val="32"/>
        </w:rPr>
        <w:t>17422.71</w:t>
      </w:r>
      <w:r>
        <w:rPr>
          <w:rFonts w:hint="eastAsia" w:eastAsia="方正仿宋简体" w:cs="方正仿宋简体"/>
          <w:sz w:val="32"/>
          <w:szCs w:val="32"/>
        </w:rPr>
        <w:t>万元，主要用于以下方面：一般公共服务支出</w:t>
      </w:r>
      <w:r>
        <w:rPr>
          <w:rFonts w:eastAsia="方正仿宋简体"/>
          <w:sz w:val="32"/>
          <w:szCs w:val="32"/>
        </w:rPr>
        <w:t>10</w:t>
      </w:r>
      <w:r>
        <w:rPr>
          <w:rFonts w:hint="eastAsia" w:eastAsia="方正仿宋简体" w:cs="方正仿宋简体"/>
          <w:sz w:val="32"/>
          <w:szCs w:val="32"/>
        </w:rPr>
        <w:t>万元，占</w:t>
      </w:r>
      <w:r>
        <w:rPr>
          <w:rFonts w:eastAsia="方正仿宋简体"/>
          <w:sz w:val="32"/>
          <w:szCs w:val="32"/>
        </w:rPr>
        <w:t>0.06%</w:t>
      </w:r>
      <w:r>
        <w:rPr>
          <w:rFonts w:hint="eastAsia" w:eastAsia="方正仿宋简体" w:cs="方正仿宋简体"/>
          <w:sz w:val="32"/>
          <w:szCs w:val="32"/>
        </w:rPr>
        <w:t>；科学技术支出</w:t>
      </w:r>
      <w:r>
        <w:rPr>
          <w:rFonts w:eastAsia="方正仿宋简体"/>
          <w:sz w:val="32"/>
          <w:szCs w:val="32"/>
        </w:rPr>
        <w:t>4</w:t>
      </w:r>
      <w:r>
        <w:rPr>
          <w:rFonts w:hint="eastAsia" w:eastAsia="方正仿宋简体" w:cs="方正仿宋简体"/>
          <w:sz w:val="32"/>
          <w:szCs w:val="32"/>
        </w:rPr>
        <w:t>万元，占</w:t>
      </w:r>
      <w:r>
        <w:rPr>
          <w:rFonts w:eastAsia="方正仿宋简体"/>
          <w:sz w:val="32"/>
          <w:szCs w:val="32"/>
        </w:rPr>
        <w:t>0.02%</w:t>
      </w:r>
      <w:r>
        <w:rPr>
          <w:rFonts w:hint="eastAsia" w:eastAsia="方正仿宋简体" w:cs="方正仿宋简体"/>
          <w:sz w:val="32"/>
          <w:szCs w:val="32"/>
        </w:rPr>
        <w:t>；社会保障和就业支出</w:t>
      </w:r>
      <w:r>
        <w:rPr>
          <w:rFonts w:eastAsia="方正仿宋简体"/>
          <w:sz w:val="32"/>
          <w:szCs w:val="32"/>
        </w:rPr>
        <w:t>16436.71</w:t>
      </w:r>
      <w:r>
        <w:rPr>
          <w:rFonts w:hint="eastAsia" w:eastAsia="方正仿宋简体" w:cs="方正仿宋简体"/>
          <w:sz w:val="32"/>
          <w:szCs w:val="32"/>
        </w:rPr>
        <w:t>万元，占</w:t>
      </w:r>
      <w:r>
        <w:rPr>
          <w:rFonts w:eastAsia="方正仿宋简体"/>
          <w:sz w:val="32"/>
          <w:szCs w:val="32"/>
        </w:rPr>
        <w:t>94.34%</w:t>
      </w:r>
      <w:r>
        <w:rPr>
          <w:rFonts w:hint="eastAsia" w:eastAsia="方正仿宋简体" w:cs="方正仿宋简体"/>
          <w:sz w:val="32"/>
          <w:szCs w:val="32"/>
        </w:rPr>
        <w:t>；医疗卫生与计划生育支出</w:t>
      </w:r>
      <w:r>
        <w:rPr>
          <w:rFonts w:eastAsia="方正仿宋简体"/>
          <w:sz w:val="32"/>
          <w:szCs w:val="32"/>
        </w:rPr>
        <w:t>545.02</w:t>
      </w:r>
      <w:r>
        <w:rPr>
          <w:rFonts w:hint="eastAsia" w:eastAsia="方正仿宋简体" w:cs="方正仿宋简体"/>
          <w:sz w:val="32"/>
          <w:szCs w:val="32"/>
        </w:rPr>
        <w:t>万元，占</w:t>
      </w:r>
      <w:r>
        <w:rPr>
          <w:rFonts w:eastAsia="方正仿宋简体"/>
          <w:sz w:val="32"/>
          <w:szCs w:val="32"/>
        </w:rPr>
        <w:t>3.13%</w:t>
      </w:r>
      <w:r>
        <w:rPr>
          <w:rFonts w:hint="eastAsia" w:eastAsia="方正仿宋简体" w:cs="方正仿宋简体"/>
          <w:sz w:val="32"/>
          <w:szCs w:val="32"/>
        </w:rPr>
        <w:t>；节能环保支出</w:t>
      </w:r>
      <w:r>
        <w:rPr>
          <w:rFonts w:eastAsia="方正仿宋简体"/>
          <w:sz w:val="32"/>
          <w:szCs w:val="32"/>
        </w:rPr>
        <w:t>29.98</w:t>
      </w:r>
      <w:r>
        <w:rPr>
          <w:rFonts w:hint="eastAsia" w:eastAsia="方正仿宋简体" w:cs="方正仿宋简体"/>
          <w:sz w:val="32"/>
          <w:szCs w:val="32"/>
        </w:rPr>
        <w:t>万元，占</w:t>
      </w:r>
      <w:r>
        <w:rPr>
          <w:rFonts w:eastAsia="方正仿宋简体"/>
          <w:sz w:val="32"/>
          <w:szCs w:val="32"/>
        </w:rPr>
        <w:t>0.17%</w:t>
      </w:r>
      <w:r>
        <w:rPr>
          <w:rFonts w:hint="eastAsia" w:eastAsia="方正仿宋简体" w:cs="方正仿宋简体"/>
          <w:sz w:val="32"/>
          <w:szCs w:val="32"/>
        </w:rPr>
        <w:t>；住房保障支出</w:t>
      </w:r>
      <w:r>
        <w:rPr>
          <w:rFonts w:eastAsia="方正仿宋简体"/>
          <w:sz w:val="32"/>
          <w:szCs w:val="32"/>
        </w:rPr>
        <w:t>397</w:t>
      </w:r>
      <w:r>
        <w:rPr>
          <w:rFonts w:hint="eastAsia" w:eastAsia="方正仿宋简体" w:cs="方正仿宋简体"/>
          <w:sz w:val="32"/>
          <w:szCs w:val="32"/>
        </w:rPr>
        <w:t>万元，占</w:t>
      </w:r>
      <w:r>
        <w:rPr>
          <w:rFonts w:eastAsia="方正仿宋简体"/>
          <w:sz w:val="32"/>
          <w:szCs w:val="32"/>
        </w:rPr>
        <w:t>2.28%</w:t>
      </w:r>
      <w:r>
        <w:rPr>
          <w:rFonts w:hint="eastAsia" w:eastAsia="方正仿宋简体" w:cs="方正仿宋简体"/>
          <w:sz w:val="32"/>
          <w:szCs w:val="32"/>
        </w:rPr>
        <w:t>。</w:t>
      </w:r>
    </w:p>
    <w:p>
      <w:pPr>
        <w:topLinePunct/>
        <w:spacing w:line="56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（三）财政拨款支出决算具体情况</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年度一般公共预算财政拨款支出年初预算</w:t>
      </w:r>
      <w:r>
        <w:rPr>
          <w:rFonts w:eastAsia="方正仿宋简体"/>
          <w:sz w:val="32"/>
          <w:szCs w:val="32"/>
        </w:rPr>
        <w:t>12278.05</w:t>
      </w:r>
      <w:r>
        <w:rPr>
          <w:rFonts w:hint="eastAsia" w:eastAsia="方正仿宋简体" w:cs="方正仿宋简体"/>
          <w:sz w:val="32"/>
          <w:szCs w:val="32"/>
        </w:rPr>
        <w:t>万元，支出决算</w:t>
      </w:r>
      <w:r>
        <w:rPr>
          <w:rFonts w:eastAsia="方正仿宋简体"/>
          <w:sz w:val="32"/>
          <w:szCs w:val="32"/>
        </w:rPr>
        <w:t>17422.71</w:t>
      </w:r>
      <w:r>
        <w:rPr>
          <w:rFonts w:hint="eastAsia" w:eastAsia="方正仿宋简体" w:cs="方正仿宋简体"/>
          <w:sz w:val="32"/>
          <w:szCs w:val="32"/>
        </w:rPr>
        <w:t>万元，完成年初预算的</w:t>
      </w:r>
      <w:r>
        <w:rPr>
          <w:rFonts w:eastAsia="方正仿宋简体"/>
          <w:sz w:val="32"/>
          <w:szCs w:val="32"/>
        </w:rPr>
        <w:t>141.90%</w:t>
      </w:r>
      <w:r>
        <w:rPr>
          <w:rFonts w:hint="eastAsia" w:eastAsia="方正仿宋简体" w:cs="方正仿宋简体"/>
          <w:sz w:val="32"/>
          <w:szCs w:val="32"/>
        </w:rPr>
        <w:t>。决算数大于预算数的主要原因：一是年中按规定追加部分财政拨款支出预算；二是以前年度财政拨款结转结余资金未纳入年初预算。其中：</w:t>
      </w:r>
    </w:p>
    <w:p>
      <w:pPr>
        <w:numPr>
          <w:ilvl w:val="0"/>
          <w:numId w:val="1"/>
        </w:numPr>
        <w:topLinePunct/>
        <w:spacing w:line="560" w:lineRule="exact"/>
        <w:ind w:firstLine="640"/>
        <w:rPr>
          <w:rFonts w:eastAsia="方正仿宋简体"/>
          <w:sz w:val="32"/>
          <w:szCs w:val="32"/>
        </w:rPr>
      </w:pPr>
      <w:r>
        <w:rPr>
          <w:rFonts w:hint="eastAsia" w:eastAsia="方正仿宋简体" w:cs="方正仿宋简体"/>
          <w:sz w:val="32"/>
          <w:szCs w:val="32"/>
        </w:rPr>
        <w:t>一般公共服务支出（类）质量技术监督与检验检疫事务（款）标准化管理（项）。年初预算为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10</w:t>
      </w:r>
      <w:r>
        <w:rPr>
          <w:rFonts w:hint="eastAsia" w:eastAsia="方正仿宋简体" w:cs="方正仿宋简体"/>
          <w:sz w:val="32"/>
          <w:szCs w:val="32"/>
        </w:rPr>
        <w:t>万元，决算数大于预算数的主要原因是使用了上年标准化管理结转资金。</w:t>
      </w:r>
    </w:p>
    <w:p>
      <w:pPr>
        <w:numPr>
          <w:ilvl w:val="0"/>
          <w:numId w:val="1"/>
        </w:numPr>
        <w:topLinePunct/>
        <w:spacing w:line="580" w:lineRule="exact"/>
        <w:ind w:firstLine="640"/>
        <w:rPr>
          <w:rFonts w:eastAsia="方正仿宋简体"/>
          <w:sz w:val="32"/>
          <w:szCs w:val="32"/>
        </w:rPr>
      </w:pPr>
      <w:r>
        <w:rPr>
          <w:rFonts w:hint="eastAsia" w:eastAsia="方正仿宋简体" w:cs="方正仿宋简体"/>
          <w:sz w:val="32"/>
          <w:szCs w:val="32"/>
        </w:rPr>
        <w:t>科学技术支出（类）社会科学（款）其他社会科学支出（项）。年初预算为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4</w:t>
      </w:r>
      <w:r>
        <w:rPr>
          <w:rFonts w:hint="eastAsia" w:eastAsia="方正仿宋简体" w:cs="方正仿宋简体"/>
          <w:sz w:val="32"/>
          <w:szCs w:val="32"/>
        </w:rPr>
        <w:t>万元，决算数大于预算数的主要原因是年中追加了社科联课题补助资金。</w:t>
      </w:r>
    </w:p>
    <w:p>
      <w:pPr>
        <w:topLinePunct/>
        <w:spacing w:line="580" w:lineRule="exact"/>
        <w:ind w:firstLine="640" w:firstLineChars="200"/>
        <w:rPr>
          <w:rFonts w:eastAsia="方正仿宋简体"/>
          <w:sz w:val="32"/>
          <w:szCs w:val="32"/>
        </w:rPr>
      </w:pPr>
      <w:r>
        <w:rPr>
          <w:rFonts w:eastAsia="方正仿宋简体"/>
          <w:sz w:val="32"/>
          <w:szCs w:val="32"/>
        </w:rPr>
        <w:t>3</w:t>
      </w:r>
      <w:r>
        <w:rPr>
          <w:rFonts w:hint="eastAsia" w:eastAsia="方正仿宋简体" w:cs="方正仿宋简体"/>
          <w:sz w:val="32"/>
          <w:szCs w:val="32"/>
        </w:rPr>
        <w:t>、社会保障和就业支出（类）民政管理事务（款）：</w:t>
      </w:r>
    </w:p>
    <w:p>
      <w:pPr>
        <w:topLinePunct/>
        <w:spacing w:line="58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）行政运行（项）。年初预算为</w:t>
      </w:r>
      <w:r>
        <w:rPr>
          <w:rFonts w:eastAsia="方正仿宋简体"/>
          <w:sz w:val="32"/>
          <w:szCs w:val="32"/>
        </w:rPr>
        <w:t>4725.94</w:t>
      </w:r>
      <w:r>
        <w:rPr>
          <w:rFonts w:hint="eastAsia" w:eastAsia="方正仿宋简体" w:cs="方正仿宋简体"/>
          <w:sz w:val="32"/>
          <w:szCs w:val="32"/>
        </w:rPr>
        <w:t>万元，支出决算为</w:t>
      </w:r>
      <w:r>
        <w:rPr>
          <w:rFonts w:eastAsia="方正仿宋简体"/>
          <w:sz w:val="32"/>
          <w:szCs w:val="32"/>
        </w:rPr>
        <w:t>6653.82</w:t>
      </w:r>
      <w:r>
        <w:rPr>
          <w:rFonts w:hint="eastAsia" w:eastAsia="方正仿宋简体" w:cs="方正仿宋简体"/>
          <w:sz w:val="32"/>
          <w:szCs w:val="32"/>
        </w:rPr>
        <w:t>万元，完成年初预算的</w:t>
      </w:r>
      <w:r>
        <w:rPr>
          <w:rFonts w:eastAsia="方正仿宋简体"/>
          <w:sz w:val="32"/>
          <w:szCs w:val="32"/>
        </w:rPr>
        <w:t>140.79%</w:t>
      </w:r>
      <w:r>
        <w:rPr>
          <w:rFonts w:hint="eastAsia" w:eastAsia="方正仿宋简体" w:cs="方正仿宋简体"/>
          <w:sz w:val="32"/>
          <w:szCs w:val="32"/>
        </w:rPr>
        <w:t>，决算数大于预算数的主要原因是使用了上年行政运行结转资金，以及年中追加了部分人员经费。</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）一般行政管理事务（项）。年初预算为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11.96</w:t>
      </w:r>
      <w:r>
        <w:rPr>
          <w:rFonts w:hint="eastAsia" w:eastAsia="方正仿宋简体" w:cs="方正仿宋简体"/>
          <w:sz w:val="32"/>
          <w:szCs w:val="32"/>
        </w:rPr>
        <w:t>万元，决算数大于预算数的主要原因是年中追加了全省性二类会议费。</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3</w:t>
      </w:r>
      <w:r>
        <w:rPr>
          <w:rFonts w:hint="eastAsia" w:eastAsia="方正仿宋简体" w:cs="方正仿宋简体"/>
          <w:sz w:val="32"/>
          <w:szCs w:val="32"/>
        </w:rPr>
        <w:t>）老龄事务（项）。年初预算为</w:t>
      </w:r>
      <w:r>
        <w:rPr>
          <w:rFonts w:eastAsia="方正仿宋简体"/>
          <w:sz w:val="32"/>
          <w:szCs w:val="32"/>
        </w:rPr>
        <w:t>55</w:t>
      </w:r>
      <w:r>
        <w:rPr>
          <w:rFonts w:hint="eastAsia" w:eastAsia="方正仿宋简体" w:cs="方正仿宋简体"/>
          <w:sz w:val="32"/>
          <w:szCs w:val="32"/>
        </w:rPr>
        <w:t>万元，支出决算为</w:t>
      </w:r>
      <w:r>
        <w:rPr>
          <w:rFonts w:eastAsia="方正仿宋简体"/>
          <w:sz w:val="32"/>
          <w:szCs w:val="32"/>
        </w:rPr>
        <w:t>31.17</w:t>
      </w:r>
      <w:r>
        <w:rPr>
          <w:rFonts w:hint="eastAsia" w:eastAsia="方正仿宋简体" w:cs="方正仿宋简体"/>
          <w:sz w:val="32"/>
          <w:szCs w:val="32"/>
        </w:rPr>
        <w:t>万元，完成年初预算的</w:t>
      </w:r>
      <w:r>
        <w:rPr>
          <w:rFonts w:eastAsia="方正仿宋简体"/>
          <w:sz w:val="32"/>
          <w:szCs w:val="32"/>
        </w:rPr>
        <w:t>56.67%</w:t>
      </w:r>
      <w:r>
        <w:rPr>
          <w:rFonts w:hint="eastAsia" w:eastAsia="方正仿宋简体" w:cs="方正仿宋简体"/>
          <w:sz w:val="32"/>
          <w:szCs w:val="32"/>
        </w:rPr>
        <w:t>，主要原因是压缩了部分印刷费和培训费支出。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4</w:t>
      </w:r>
      <w:r>
        <w:rPr>
          <w:rFonts w:hint="eastAsia" w:eastAsia="方正仿宋简体" w:cs="方正仿宋简体"/>
          <w:sz w:val="32"/>
          <w:szCs w:val="32"/>
        </w:rPr>
        <w:t>）民间组织管理（项）。年初预算为</w:t>
      </w:r>
      <w:r>
        <w:rPr>
          <w:rFonts w:eastAsia="方正仿宋简体"/>
          <w:sz w:val="32"/>
          <w:szCs w:val="32"/>
        </w:rPr>
        <w:t>368</w:t>
      </w:r>
      <w:r>
        <w:rPr>
          <w:rFonts w:hint="eastAsia" w:eastAsia="方正仿宋简体" w:cs="方正仿宋简体"/>
          <w:sz w:val="32"/>
          <w:szCs w:val="32"/>
        </w:rPr>
        <w:t>万元，支出决算为</w:t>
      </w:r>
      <w:r>
        <w:rPr>
          <w:rFonts w:eastAsia="方正仿宋简体"/>
          <w:sz w:val="32"/>
          <w:szCs w:val="32"/>
        </w:rPr>
        <w:t>261.05</w:t>
      </w:r>
      <w:r>
        <w:rPr>
          <w:rFonts w:hint="eastAsia" w:eastAsia="方正仿宋简体" w:cs="方正仿宋简体"/>
          <w:sz w:val="32"/>
          <w:szCs w:val="32"/>
        </w:rPr>
        <w:t>万元，完成年初预算的</w:t>
      </w:r>
      <w:r>
        <w:rPr>
          <w:rFonts w:eastAsia="方正仿宋简体"/>
          <w:sz w:val="32"/>
          <w:szCs w:val="32"/>
        </w:rPr>
        <w:t>70.94%</w:t>
      </w:r>
      <w:r>
        <w:rPr>
          <w:rFonts w:hint="eastAsia" w:eastAsia="方正仿宋简体" w:cs="方正仿宋简体"/>
          <w:sz w:val="32"/>
          <w:szCs w:val="32"/>
        </w:rPr>
        <w:t>，主要原因是压缩了部分其他商品和服务支出。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5</w:t>
      </w:r>
      <w:r>
        <w:rPr>
          <w:rFonts w:hint="eastAsia" w:eastAsia="方正仿宋简体" w:cs="方正仿宋简体"/>
          <w:sz w:val="32"/>
          <w:szCs w:val="32"/>
        </w:rPr>
        <w:t>）行政区划和地名管理（项）。年初预算为</w:t>
      </w:r>
      <w:r>
        <w:rPr>
          <w:rFonts w:eastAsia="方正仿宋简体"/>
          <w:sz w:val="32"/>
          <w:szCs w:val="32"/>
        </w:rPr>
        <w:t>157</w:t>
      </w:r>
      <w:r>
        <w:rPr>
          <w:rFonts w:hint="eastAsia" w:eastAsia="方正仿宋简体" w:cs="方正仿宋简体"/>
          <w:sz w:val="32"/>
          <w:szCs w:val="32"/>
        </w:rPr>
        <w:t>万元，支出决算为</w:t>
      </w:r>
      <w:r>
        <w:rPr>
          <w:rFonts w:eastAsia="方正仿宋简体"/>
          <w:sz w:val="32"/>
          <w:szCs w:val="32"/>
        </w:rPr>
        <w:t>879.09</w:t>
      </w:r>
      <w:r>
        <w:rPr>
          <w:rFonts w:hint="eastAsia" w:eastAsia="方正仿宋简体" w:cs="方正仿宋简体"/>
          <w:sz w:val="32"/>
          <w:szCs w:val="32"/>
        </w:rPr>
        <w:t>万元，完成年初预算的</w:t>
      </w:r>
      <w:r>
        <w:rPr>
          <w:rFonts w:eastAsia="方正仿宋简体"/>
          <w:sz w:val="32"/>
          <w:szCs w:val="32"/>
        </w:rPr>
        <w:t>559.93%</w:t>
      </w:r>
      <w:r>
        <w:rPr>
          <w:rFonts w:hint="eastAsia" w:eastAsia="方正仿宋简体" w:cs="方正仿宋简体"/>
          <w:sz w:val="32"/>
          <w:szCs w:val="32"/>
        </w:rPr>
        <w:t>，决算数大于预算数的主要原因是使用了地名普查上年结转资金，以及年中追加了中央地名普查经费。</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6</w:t>
      </w:r>
      <w:r>
        <w:rPr>
          <w:rFonts w:hint="eastAsia" w:eastAsia="方正仿宋简体" w:cs="方正仿宋简体"/>
          <w:sz w:val="32"/>
          <w:szCs w:val="32"/>
        </w:rPr>
        <w:t>）基层政权和社区建设（项）。年初预算为</w:t>
      </w:r>
      <w:r>
        <w:rPr>
          <w:rFonts w:eastAsia="方正仿宋简体"/>
          <w:sz w:val="32"/>
          <w:szCs w:val="32"/>
        </w:rPr>
        <w:t>35</w:t>
      </w:r>
      <w:r>
        <w:rPr>
          <w:rFonts w:hint="eastAsia" w:eastAsia="方正仿宋简体" w:cs="方正仿宋简体"/>
          <w:sz w:val="32"/>
          <w:szCs w:val="32"/>
        </w:rPr>
        <w:t>万元，支出决算为</w:t>
      </w:r>
      <w:r>
        <w:rPr>
          <w:rFonts w:eastAsia="方正仿宋简体"/>
          <w:sz w:val="32"/>
          <w:szCs w:val="32"/>
        </w:rPr>
        <w:t>16.93</w:t>
      </w:r>
      <w:r>
        <w:rPr>
          <w:rFonts w:hint="eastAsia" w:eastAsia="方正仿宋简体" w:cs="方正仿宋简体"/>
          <w:sz w:val="32"/>
          <w:szCs w:val="32"/>
        </w:rPr>
        <w:t>万元，完成年初预算的</w:t>
      </w:r>
      <w:r>
        <w:rPr>
          <w:rFonts w:eastAsia="方正仿宋简体"/>
          <w:sz w:val="32"/>
          <w:szCs w:val="32"/>
        </w:rPr>
        <w:t>48.37%</w:t>
      </w:r>
      <w:r>
        <w:rPr>
          <w:rFonts w:hint="eastAsia" w:eastAsia="方正仿宋简体" w:cs="方正仿宋简体"/>
          <w:sz w:val="32"/>
          <w:szCs w:val="32"/>
        </w:rPr>
        <w:t>，主要原因是压缩了部分培训费和差旅费支出。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7</w:t>
      </w:r>
      <w:r>
        <w:rPr>
          <w:rFonts w:hint="eastAsia" w:eastAsia="方正仿宋简体" w:cs="方正仿宋简体"/>
          <w:sz w:val="32"/>
          <w:szCs w:val="32"/>
        </w:rPr>
        <w:t>）部队供应（项）。年初预算为</w:t>
      </w:r>
      <w:r>
        <w:rPr>
          <w:rFonts w:eastAsia="方正仿宋简体"/>
          <w:sz w:val="32"/>
          <w:szCs w:val="32"/>
        </w:rPr>
        <w:t>90</w:t>
      </w:r>
      <w:r>
        <w:rPr>
          <w:rFonts w:hint="eastAsia" w:eastAsia="方正仿宋简体" w:cs="方正仿宋简体"/>
          <w:sz w:val="32"/>
          <w:szCs w:val="32"/>
        </w:rPr>
        <w:t>万元，支出决算为</w:t>
      </w:r>
      <w:r>
        <w:rPr>
          <w:rFonts w:eastAsia="方正仿宋简体"/>
          <w:sz w:val="32"/>
          <w:szCs w:val="32"/>
        </w:rPr>
        <w:t>90</w:t>
      </w:r>
      <w:r>
        <w:rPr>
          <w:rFonts w:hint="eastAsia" w:eastAsia="方正仿宋简体" w:cs="方正仿宋简体"/>
          <w:sz w:val="32"/>
          <w:szCs w:val="32"/>
        </w:rPr>
        <w:t>万元，完成年初预算的</w:t>
      </w:r>
      <w:r>
        <w:rPr>
          <w:rFonts w:eastAsia="方正仿宋简体"/>
          <w:sz w:val="32"/>
          <w:szCs w:val="32"/>
        </w:rPr>
        <w:t>100%</w:t>
      </w:r>
      <w:r>
        <w:rPr>
          <w:rFonts w:hint="eastAsia" w:eastAsia="方正仿宋简体" w:cs="方正仿宋简体"/>
          <w:sz w:val="32"/>
          <w:szCs w:val="32"/>
        </w:rPr>
        <w:t>。</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8</w:t>
      </w:r>
      <w:r>
        <w:rPr>
          <w:rFonts w:hint="eastAsia" w:eastAsia="方正仿宋简体" w:cs="方正仿宋简体"/>
          <w:sz w:val="32"/>
          <w:szCs w:val="32"/>
        </w:rPr>
        <w:t>）其他民政管理事务（项）。年初预算为</w:t>
      </w:r>
      <w:r>
        <w:rPr>
          <w:rFonts w:eastAsia="方正仿宋简体"/>
          <w:sz w:val="32"/>
          <w:szCs w:val="32"/>
        </w:rPr>
        <w:t>810</w:t>
      </w:r>
      <w:r>
        <w:rPr>
          <w:rFonts w:hint="eastAsia" w:eastAsia="方正仿宋简体" w:cs="方正仿宋简体"/>
          <w:sz w:val="32"/>
          <w:szCs w:val="32"/>
        </w:rPr>
        <w:t>万元，支出决算为</w:t>
      </w:r>
      <w:r>
        <w:rPr>
          <w:rFonts w:eastAsia="方正仿宋简体"/>
          <w:sz w:val="32"/>
          <w:szCs w:val="32"/>
        </w:rPr>
        <w:t>1250.39</w:t>
      </w:r>
      <w:r>
        <w:rPr>
          <w:rFonts w:hint="eastAsia" w:eastAsia="方正仿宋简体" w:cs="方正仿宋简体"/>
          <w:sz w:val="32"/>
          <w:szCs w:val="32"/>
        </w:rPr>
        <w:t>万元，完成年初预算的</w:t>
      </w:r>
      <w:r>
        <w:rPr>
          <w:rFonts w:eastAsia="方正仿宋简体"/>
          <w:sz w:val="32"/>
          <w:szCs w:val="32"/>
        </w:rPr>
        <w:t>154.37%</w:t>
      </w:r>
      <w:r>
        <w:rPr>
          <w:rFonts w:hint="eastAsia" w:eastAsia="方正仿宋简体" w:cs="方正仿宋简体"/>
          <w:sz w:val="32"/>
          <w:szCs w:val="32"/>
        </w:rPr>
        <w:t>。决算数大于预算数的主要原因是使用了上年财政结转资金，以及年中追加了其他民政专项经费等。</w:t>
      </w:r>
    </w:p>
    <w:p>
      <w:pPr>
        <w:topLinePunct/>
        <w:spacing w:line="560" w:lineRule="exact"/>
        <w:ind w:firstLine="640" w:firstLineChars="200"/>
        <w:rPr>
          <w:rFonts w:eastAsia="方正仿宋简体"/>
          <w:sz w:val="32"/>
          <w:szCs w:val="32"/>
        </w:rPr>
      </w:pPr>
      <w:r>
        <w:rPr>
          <w:rFonts w:eastAsia="方正仿宋简体"/>
          <w:sz w:val="32"/>
          <w:szCs w:val="32"/>
        </w:rPr>
        <w:t>4</w:t>
      </w:r>
      <w:r>
        <w:rPr>
          <w:rFonts w:hint="eastAsia" w:eastAsia="方正仿宋简体" w:cs="方正仿宋简体"/>
          <w:sz w:val="32"/>
          <w:szCs w:val="32"/>
        </w:rPr>
        <w:t>、社会保障和就业支出（类）行政事业单位离退休（款）机关事业单位基本养老保险缴费支出（项）。年初预算为</w:t>
      </w:r>
      <w:r>
        <w:rPr>
          <w:rFonts w:eastAsia="方正仿宋简体"/>
          <w:sz w:val="32"/>
          <w:szCs w:val="32"/>
        </w:rPr>
        <w:t>543.95</w:t>
      </w:r>
      <w:r>
        <w:rPr>
          <w:rFonts w:hint="eastAsia" w:eastAsia="方正仿宋简体" w:cs="方正仿宋简体"/>
          <w:sz w:val="32"/>
          <w:szCs w:val="32"/>
        </w:rPr>
        <w:t>万元，支出决算为</w:t>
      </w:r>
      <w:r>
        <w:rPr>
          <w:rFonts w:eastAsia="方正仿宋简体"/>
          <w:sz w:val="32"/>
          <w:szCs w:val="32"/>
        </w:rPr>
        <w:t>543.95</w:t>
      </w:r>
      <w:r>
        <w:rPr>
          <w:rFonts w:hint="eastAsia" w:eastAsia="方正仿宋简体" w:cs="方正仿宋简体"/>
          <w:sz w:val="32"/>
          <w:szCs w:val="32"/>
        </w:rPr>
        <w:t>万元，完成年初预算的</w:t>
      </w:r>
      <w:r>
        <w:rPr>
          <w:rFonts w:eastAsia="方正仿宋简体"/>
          <w:sz w:val="32"/>
          <w:szCs w:val="32"/>
        </w:rPr>
        <w:t>100%</w:t>
      </w:r>
      <w:r>
        <w:rPr>
          <w:rFonts w:hint="eastAsia" w:eastAsia="方正仿宋简体" w:cs="方正仿宋简体"/>
          <w:sz w:val="32"/>
          <w:szCs w:val="32"/>
        </w:rPr>
        <w:t>。</w:t>
      </w:r>
    </w:p>
    <w:p>
      <w:pPr>
        <w:topLinePunct/>
        <w:spacing w:line="560" w:lineRule="exact"/>
        <w:ind w:firstLine="640" w:firstLineChars="200"/>
        <w:rPr>
          <w:rFonts w:eastAsia="方正仿宋简体"/>
          <w:sz w:val="32"/>
          <w:szCs w:val="32"/>
        </w:rPr>
      </w:pPr>
      <w:r>
        <w:rPr>
          <w:rFonts w:eastAsia="方正仿宋简体"/>
          <w:sz w:val="32"/>
          <w:szCs w:val="32"/>
        </w:rPr>
        <w:t>5</w:t>
      </w:r>
      <w:r>
        <w:rPr>
          <w:rFonts w:hint="eastAsia" w:eastAsia="方正仿宋简体" w:cs="方正仿宋简体"/>
          <w:sz w:val="32"/>
          <w:szCs w:val="32"/>
        </w:rPr>
        <w:t>、社会保障和就业支出（类）抚恤（款）：</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）死亡抚恤（项）。年初预算为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36.90</w:t>
      </w:r>
      <w:r>
        <w:rPr>
          <w:rFonts w:hint="eastAsia" w:eastAsia="方正仿宋简体" w:cs="方正仿宋简体"/>
          <w:sz w:val="32"/>
          <w:szCs w:val="32"/>
        </w:rPr>
        <w:t>万元，决算数大于预算数的主要原因是年中追加了死亡人员抚恤经费。</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）优抚事业单位支出（项）。年初预算为</w:t>
      </w:r>
      <w:r>
        <w:rPr>
          <w:rFonts w:eastAsia="方正仿宋简体"/>
          <w:sz w:val="32"/>
          <w:szCs w:val="32"/>
        </w:rPr>
        <w:t>1962.05</w:t>
      </w:r>
      <w:r>
        <w:rPr>
          <w:rFonts w:hint="eastAsia" w:eastAsia="方正仿宋简体" w:cs="方正仿宋简体"/>
          <w:sz w:val="32"/>
          <w:szCs w:val="32"/>
        </w:rPr>
        <w:t>万元，支出决算为</w:t>
      </w:r>
      <w:r>
        <w:rPr>
          <w:rFonts w:eastAsia="方正仿宋简体"/>
          <w:sz w:val="32"/>
          <w:szCs w:val="32"/>
        </w:rPr>
        <w:t>2335.31</w:t>
      </w:r>
      <w:r>
        <w:rPr>
          <w:rFonts w:hint="eastAsia" w:eastAsia="方正仿宋简体" w:cs="方正仿宋简体"/>
          <w:sz w:val="32"/>
          <w:szCs w:val="32"/>
        </w:rPr>
        <w:t>万元，完成年初预算的</w:t>
      </w:r>
      <w:r>
        <w:rPr>
          <w:rFonts w:eastAsia="方正仿宋简体"/>
          <w:sz w:val="32"/>
          <w:szCs w:val="32"/>
        </w:rPr>
        <w:t>119.02%</w:t>
      </w:r>
      <w:r>
        <w:rPr>
          <w:rFonts w:hint="eastAsia" w:eastAsia="方正仿宋简体" w:cs="方正仿宋简体"/>
          <w:sz w:val="32"/>
          <w:szCs w:val="32"/>
        </w:rPr>
        <w:t>。决算数大于预算数的主要原因是使用了上年优抚事业单位支出结转资金，以及年中追加了部分优抚事业单位支出资金。</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3</w:t>
      </w:r>
      <w:r>
        <w:rPr>
          <w:rFonts w:hint="eastAsia" w:eastAsia="方正仿宋简体" w:cs="方正仿宋简体"/>
          <w:sz w:val="32"/>
          <w:szCs w:val="32"/>
        </w:rPr>
        <w:t>）其他优抚支出（项）。年初预算为</w:t>
      </w:r>
      <w:r>
        <w:rPr>
          <w:rFonts w:eastAsia="方正仿宋简体"/>
          <w:sz w:val="32"/>
          <w:szCs w:val="32"/>
        </w:rPr>
        <w:t>850</w:t>
      </w:r>
      <w:r>
        <w:rPr>
          <w:rFonts w:hint="eastAsia" w:eastAsia="方正仿宋简体" w:cs="方正仿宋简体"/>
          <w:sz w:val="32"/>
          <w:szCs w:val="32"/>
        </w:rPr>
        <w:t>万元，支出决算为</w:t>
      </w:r>
      <w:r>
        <w:rPr>
          <w:rFonts w:eastAsia="方正仿宋简体"/>
          <w:sz w:val="32"/>
          <w:szCs w:val="32"/>
        </w:rPr>
        <w:t>845.38</w:t>
      </w:r>
      <w:r>
        <w:rPr>
          <w:rFonts w:hint="eastAsia" w:eastAsia="方正仿宋简体" w:cs="方正仿宋简体"/>
          <w:sz w:val="32"/>
          <w:szCs w:val="32"/>
        </w:rPr>
        <w:t>万元，完成年初预算的</w:t>
      </w:r>
      <w:r>
        <w:rPr>
          <w:rFonts w:eastAsia="方正仿宋简体"/>
          <w:sz w:val="32"/>
          <w:szCs w:val="32"/>
        </w:rPr>
        <w:t>99.46%</w:t>
      </w:r>
      <w:r>
        <w:rPr>
          <w:rFonts w:hint="eastAsia" w:eastAsia="方正仿宋简体" w:cs="方正仿宋简体"/>
          <w:sz w:val="32"/>
          <w:szCs w:val="32"/>
        </w:rPr>
        <w:t>。</w:t>
      </w:r>
    </w:p>
    <w:p>
      <w:pPr>
        <w:topLinePunct/>
        <w:spacing w:line="560" w:lineRule="exact"/>
        <w:ind w:firstLine="640" w:firstLineChars="200"/>
        <w:rPr>
          <w:rFonts w:eastAsia="方正仿宋简体"/>
          <w:sz w:val="32"/>
          <w:szCs w:val="32"/>
        </w:rPr>
      </w:pPr>
      <w:r>
        <w:rPr>
          <w:rFonts w:eastAsia="方正仿宋简体"/>
          <w:sz w:val="32"/>
          <w:szCs w:val="32"/>
        </w:rPr>
        <w:t>6.</w:t>
      </w:r>
      <w:r>
        <w:rPr>
          <w:rFonts w:hint="eastAsia" w:eastAsia="方正仿宋简体" w:cs="方正仿宋简体"/>
          <w:sz w:val="32"/>
          <w:szCs w:val="32"/>
        </w:rPr>
        <w:t>社会保障和就业支出（类）退役安置（款）：</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）退役士兵安置（项）。年初预算为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17.57</w:t>
      </w:r>
      <w:r>
        <w:rPr>
          <w:rFonts w:hint="eastAsia" w:eastAsia="方正仿宋简体" w:cs="方正仿宋简体"/>
          <w:sz w:val="32"/>
          <w:szCs w:val="32"/>
        </w:rPr>
        <w:t>万元，决算数大于预算数的主要原因是使用了上年退役士兵安置结转资金。</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）军队移交政府的离退休人员安置（项）。年初预算为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75</w:t>
      </w:r>
      <w:r>
        <w:rPr>
          <w:rFonts w:hint="eastAsia" w:eastAsia="方正仿宋简体" w:cs="方正仿宋简体"/>
          <w:sz w:val="32"/>
          <w:szCs w:val="32"/>
        </w:rPr>
        <w:t>万元，决算数大于预算数的主要原因是年中追加了军队离退休人员经费。</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3</w:t>
      </w:r>
      <w:r>
        <w:rPr>
          <w:rFonts w:hint="eastAsia" w:eastAsia="方正仿宋简体" w:cs="方正仿宋简体"/>
          <w:sz w:val="32"/>
          <w:szCs w:val="32"/>
        </w:rPr>
        <w:t>）军队移交政府离退休干部管理机构（项）。年初预算为</w:t>
      </w:r>
      <w:r>
        <w:rPr>
          <w:rFonts w:eastAsia="方正仿宋简体"/>
          <w:sz w:val="32"/>
          <w:szCs w:val="32"/>
        </w:rPr>
        <w:t>55</w:t>
      </w:r>
      <w:r>
        <w:rPr>
          <w:rFonts w:hint="eastAsia" w:eastAsia="方正仿宋简体" w:cs="方正仿宋简体"/>
          <w:sz w:val="32"/>
          <w:szCs w:val="32"/>
        </w:rPr>
        <w:t>万元，支出决算为</w:t>
      </w:r>
      <w:r>
        <w:rPr>
          <w:rFonts w:eastAsia="方正仿宋简体"/>
          <w:sz w:val="32"/>
          <w:szCs w:val="32"/>
        </w:rPr>
        <w:t>21.69</w:t>
      </w:r>
      <w:r>
        <w:rPr>
          <w:rFonts w:hint="eastAsia" w:eastAsia="方正仿宋简体" w:cs="方正仿宋简体"/>
          <w:sz w:val="32"/>
          <w:szCs w:val="32"/>
        </w:rPr>
        <w:t>万元，完成年初预算的</w:t>
      </w:r>
      <w:r>
        <w:rPr>
          <w:rFonts w:eastAsia="方正仿宋简体"/>
          <w:sz w:val="32"/>
          <w:szCs w:val="32"/>
        </w:rPr>
        <w:t>39.44%</w:t>
      </w:r>
      <w:r>
        <w:rPr>
          <w:rFonts w:hint="eastAsia" w:eastAsia="方正仿宋简体" w:cs="方正仿宋简体"/>
          <w:sz w:val="32"/>
          <w:szCs w:val="32"/>
        </w:rPr>
        <w:t>，主要原因是压缩了部分会议费和培训费。</w:t>
      </w:r>
    </w:p>
    <w:p>
      <w:pPr>
        <w:topLinePunct/>
        <w:spacing w:line="560" w:lineRule="exact"/>
        <w:ind w:firstLine="640" w:firstLineChars="200"/>
        <w:rPr>
          <w:rFonts w:eastAsia="方正仿宋简体"/>
          <w:sz w:val="32"/>
          <w:szCs w:val="32"/>
        </w:rPr>
      </w:pPr>
      <w:r>
        <w:rPr>
          <w:rFonts w:eastAsia="方正仿宋简体"/>
          <w:sz w:val="32"/>
          <w:szCs w:val="32"/>
        </w:rPr>
        <w:t>7</w:t>
      </w:r>
      <w:r>
        <w:rPr>
          <w:rFonts w:hint="eastAsia" w:eastAsia="方正仿宋简体" w:cs="方正仿宋简体"/>
          <w:sz w:val="32"/>
          <w:szCs w:val="32"/>
        </w:rPr>
        <w:t>、社会保障和就业支出（类）社会福利（款）：</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）老年福利（项）。年初预算为</w:t>
      </w:r>
      <w:r>
        <w:rPr>
          <w:rFonts w:eastAsia="方正仿宋简体"/>
          <w:sz w:val="32"/>
          <w:szCs w:val="32"/>
        </w:rPr>
        <w:t>40</w:t>
      </w:r>
      <w:r>
        <w:rPr>
          <w:rFonts w:hint="eastAsia" w:eastAsia="方正仿宋简体" w:cs="方正仿宋简体"/>
          <w:sz w:val="32"/>
          <w:szCs w:val="32"/>
        </w:rPr>
        <w:t>万元，支出决算为</w:t>
      </w:r>
      <w:r>
        <w:rPr>
          <w:rFonts w:eastAsia="方正仿宋简体"/>
          <w:sz w:val="32"/>
          <w:szCs w:val="32"/>
        </w:rPr>
        <w:t>978.50</w:t>
      </w:r>
      <w:r>
        <w:rPr>
          <w:rFonts w:hint="eastAsia" w:eastAsia="方正仿宋简体" w:cs="方正仿宋简体"/>
          <w:sz w:val="32"/>
          <w:szCs w:val="32"/>
        </w:rPr>
        <w:t>万元，完成年初预算的</w:t>
      </w:r>
      <w:r>
        <w:rPr>
          <w:rFonts w:eastAsia="方正仿宋简体"/>
          <w:sz w:val="32"/>
          <w:szCs w:val="32"/>
        </w:rPr>
        <w:t>2446.25%</w:t>
      </w:r>
      <w:r>
        <w:rPr>
          <w:rFonts w:hint="eastAsia" w:eastAsia="方正仿宋简体" w:cs="方正仿宋简体"/>
          <w:sz w:val="32"/>
          <w:szCs w:val="32"/>
        </w:rPr>
        <w:t>。决算数大于预算数的主要原因是使用了上年老年福利结转资金。</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）假肢矫形（项）。年初预算为</w:t>
      </w:r>
      <w:r>
        <w:rPr>
          <w:rFonts w:eastAsia="方正仿宋简体"/>
          <w:sz w:val="32"/>
          <w:szCs w:val="32"/>
        </w:rPr>
        <w:t>499.11</w:t>
      </w:r>
      <w:r>
        <w:rPr>
          <w:rFonts w:hint="eastAsia" w:eastAsia="方正仿宋简体" w:cs="方正仿宋简体"/>
          <w:sz w:val="32"/>
          <w:szCs w:val="32"/>
        </w:rPr>
        <w:t>万元，支出决算为</w:t>
      </w:r>
      <w:r>
        <w:rPr>
          <w:rFonts w:eastAsia="方正仿宋简体"/>
          <w:sz w:val="32"/>
          <w:szCs w:val="32"/>
        </w:rPr>
        <w:t>439.11</w:t>
      </w:r>
      <w:r>
        <w:rPr>
          <w:rFonts w:hint="eastAsia" w:eastAsia="方正仿宋简体" w:cs="方正仿宋简体"/>
          <w:sz w:val="32"/>
          <w:szCs w:val="32"/>
        </w:rPr>
        <w:t>万元，完成年初预算的</w:t>
      </w:r>
      <w:r>
        <w:rPr>
          <w:rFonts w:eastAsia="方正仿宋简体"/>
          <w:sz w:val="32"/>
          <w:szCs w:val="32"/>
        </w:rPr>
        <w:t>87.98%</w:t>
      </w:r>
      <w:r>
        <w:rPr>
          <w:rFonts w:hint="eastAsia" w:eastAsia="方正仿宋简体" w:cs="方正仿宋简体"/>
          <w:sz w:val="32"/>
          <w:szCs w:val="32"/>
        </w:rPr>
        <w:t>，主要原因是压缩了部分其他商品和服务支出。</w:t>
      </w:r>
    </w:p>
    <w:p>
      <w:pPr>
        <w:topLinePunct/>
        <w:spacing w:line="560" w:lineRule="exact"/>
        <w:ind w:firstLine="640" w:firstLineChars="200"/>
        <w:rPr>
          <w:rFonts w:eastAsia="方正仿宋简体"/>
          <w:sz w:val="32"/>
          <w:szCs w:val="32"/>
        </w:rPr>
      </w:pPr>
      <w:r>
        <w:rPr>
          <w:rFonts w:eastAsia="方正仿宋简体"/>
          <w:sz w:val="32"/>
          <w:szCs w:val="32"/>
        </w:rPr>
        <w:t>8</w:t>
      </w:r>
      <w:r>
        <w:rPr>
          <w:rFonts w:hint="eastAsia" w:eastAsia="方正仿宋简体" w:cs="方正仿宋简体"/>
          <w:sz w:val="32"/>
          <w:szCs w:val="32"/>
        </w:rPr>
        <w:t>、社会保障和就业支出（类）自然灾害生活救助（款）：</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）中央自然灾害生活补助（项）。年初预算为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559.96</w:t>
      </w:r>
      <w:r>
        <w:rPr>
          <w:rFonts w:hint="eastAsia" w:eastAsia="方正仿宋简体" w:cs="方正仿宋简体"/>
          <w:sz w:val="32"/>
          <w:szCs w:val="32"/>
        </w:rPr>
        <w:t>万元。决算数大于预算数的主要原因是年中追加了中央自然灾害生活补助资金。</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）地方自然灾害生活补助（项）。年初预算为</w:t>
      </w:r>
      <w:r>
        <w:rPr>
          <w:rFonts w:eastAsia="方正仿宋简体"/>
          <w:sz w:val="32"/>
          <w:szCs w:val="32"/>
        </w:rPr>
        <w:t>1300</w:t>
      </w:r>
      <w:r>
        <w:rPr>
          <w:rFonts w:hint="eastAsia" w:eastAsia="方正仿宋简体" w:cs="方正仿宋简体"/>
          <w:sz w:val="32"/>
          <w:szCs w:val="32"/>
        </w:rPr>
        <w:t>万元，支出决算为</w:t>
      </w:r>
      <w:r>
        <w:rPr>
          <w:rFonts w:eastAsia="方正仿宋简体"/>
          <w:sz w:val="32"/>
          <w:szCs w:val="32"/>
        </w:rPr>
        <w:t>1299.97</w:t>
      </w:r>
      <w:r>
        <w:rPr>
          <w:rFonts w:hint="eastAsia" w:eastAsia="方正仿宋简体" w:cs="方正仿宋简体"/>
          <w:sz w:val="32"/>
          <w:szCs w:val="32"/>
        </w:rPr>
        <w:t>万元，完成年初预算的</w:t>
      </w:r>
      <w:r>
        <w:rPr>
          <w:rFonts w:eastAsia="方正仿宋简体"/>
          <w:sz w:val="32"/>
          <w:szCs w:val="32"/>
        </w:rPr>
        <w:t>100%</w:t>
      </w:r>
      <w:r>
        <w:rPr>
          <w:rFonts w:hint="eastAsia" w:eastAsia="方正仿宋简体" w:cs="方正仿宋简体"/>
          <w:sz w:val="32"/>
          <w:szCs w:val="32"/>
        </w:rPr>
        <w:t>。</w:t>
      </w:r>
    </w:p>
    <w:p>
      <w:pPr>
        <w:topLinePunct/>
        <w:spacing w:line="560" w:lineRule="exact"/>
        <w:ind w:firstLine="640" w:firstLineChars="200"/>
        <w:rPr>
          <w:rFonts w:eastAsia="方正仿宋简体"/>
          <w:sz w:val="32"/>
          <w:szCs w:val="32"/>
        </w:rPr>
      </w:pPr>
      <w:r>
        <w:rPr>
          <w:rFonts w:eastAsia="方正仿宋简体"/>
          <w:sz w:val="32"/>
          <w:szCs w:val="32"/>
        </w:rPr>
        <w:t>9</w:t>
      </w:r>
      <w:r>
        <w:rPr>
          <w:rFonts w:hint="eastAsia" w:eastAsia="方正仿宋简体" w:cs="方正仿宋简体"/>
          <w:sz w:val="32"/>
          <w:szCs w:val="32"/>
        </w:rPr>
        <w:t>、社会保障和就业支出（类）临时救助（款）：</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）临时救助支出（项）。年初预算为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57</w:t>
      </w:r>
      <w:r>
        <w:rPr>
          <w:rFonts w:hint="eastAsia" w:eastAsia="方正仿宋简体" w:cs="方正仿宋简体"/>
          <w:sz w:val="32"/>
          <w:szCs w:val="32"/>
        </w:rPr>
        <w:t>万元，决算数大于预算数的主要原因是年中追加了临时救助资金。</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）流浪乞讨人员救助支出（项）。年初预算为</w:t>
      </w:r>
      <w:r>
        <w:rPr>
          <w:rFonts w:eastAsia="方正仿宋简体"/>
          <w:sz w:val="32"/>
          <w:szCs w:val="32"/>
        </w:rPr>
        <w:t>40</w:t>
      </w:r>
      <w:r>
        <w:rPr>
          <w:rFonts w:hint="eastAsia" w:eastAsia="方正仿宋简体" w:cs="方正仿宋简体"/>
          <w:sz w:val="32"/>
          <w:szCs w:val="32"/>
        </w:rPr>
        <w:t>万元，支出决算为</w:t>
      </w:r>
      <w:r>
        <w:rPr>
          <w:rFonts w:eastAsia="方正仿宋简体"/>
          <w:sz w:val="32"/>
          <w:szCs w:val="32"/>
        </w:rPr>
        <w:t>31.25</w:t>
      </w:r>
      <w:r>
        <w:rPr>
          <w:rFonts w:hint="eastAsia" w:eastAsia="方正仿宋简体" w:cs="方正仿宋简体"/>
          <w:sz w:val="32"/>
          <w:szCs w:val="32"/>
        </w:rPr>
        <w:t>万元，完成年初预算的</w:t>
      </w:r>
      <w:r>
        <w:rPr>
          <w:rFonts w:eastAsia="方正仿宋简体"/>
          <w:sz w:val="32"/>
          <w:szCs w:val="32"/>
        </w:rPr>
        <w:t>78.13%</w:t>
      </w:r>
      <w:r>
        <w:rPr>
          <w:rFonts w:hint="eastAsia" w:eastAsia="方正仿宋简体" w:cs="方正仿宋简体"/>
          <w:sz w:val="32"/>
          <w:szCs w:val="32"/>
        </w:rPr>
        <w:t>，主要原因是压缩了部分办公费和差旅费。</w:t>
      </w:r>
    </w:p>
    <w:p>
      <w:pPr>
        <w:topLinePunct/>
        <w:spacing w:line="560" w:lineRule="exact"/>
        <w:ind w:firstLine="640" w:firstLineChars="200"/>
        <w:rPr>
          <w:rFonts w:eastAsia="方正仿宋简体"/>
          <w:sz w:val="32"/>
          <w:szCs w:val="32"/>
        </w:rPr>
      </w:pPr>
      <w:r>
        <w:rPr>
          <w:rFonts w:eastAsia="方正仿宋简体"/>
          <w:sz w:val="32"/>
          <w:szCs w:val="32"/>
        </w:rPr>
        <w:t>10</w:t>
      </w:r>
      <w:r>
        <w:rPr>
          <w:rFonts w:hint="eastAsia" w:eastAsia="方正仿宋简体" w:cs="方正仿宋简体"/>
          <w:sz w:val="32"/>
          <w:szCs w:val="32"/>
        </w:rPr>
        <w:t>、社会保障和就业支出（类）其他社会保障和就业支出（款）其他社会保障和就业支出（项）。年初预算为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0.72</w:t>
      </w:r>
      <w:r>
        <w:rPr>
          <w:rFonts w:hint="eastAsia" w:eastAsia="方正仿宋简体" w:cs="方正仿宋简体"/>
          <w:sz w:val="32"/>
          <w:szCs w:val="32"/>
        </w:rPr>
        <w:t>万元，决算数大于预算数的主要原因是年中追加了建国初期参加革命工作退休干部生活补贴资金。</w:t>
      </w:r>
    </w:p>
    <w:p>
      <w:pPr>
        <w:topLinePunct/>
        <w:spacing w:line="560" w:lineRule="exact"/>
        <w:ind w:firstLine="640" w:firstLineChars="200"/>
        <w:rPr>
          <w:rFonts w:eastAsia="方正仿宋简体"/>
          <w:sz w:val="32"/>
          <w:szCs w:val="32"/>
        </w:rPr>
      </w:pPr>
      <w:r>
        <w:rPr>
          <w:rFonts w:eastAsia="方正仿宋简体"/>
          <w:sz w:val="32"/>
          <w:szCs w:val="32"/>
        </w:rPr>
        <w:t>11</w:t>
      </w:r>
      <w:r>
        <w:rPr>
          <w:rFonts w:hint="eastAsia" w:eastAsia="方正仿宋简体" w:cs="方正仿宋简体"/>
          <w:sz w:val="32"/>
          <w:szCs w:val="32"/>
        </w:rPr>
        <w:t>、医疗卫生与计划生育支出（类）计划生育事务（款）其他计划生育事务支出（项）。年初预算为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4.95</w:t>
      </w:r>
      <w:r>
        <w:rPr>
          <w:rFonts w:hint="eastAsia" w:eastAsia="方正仿宋简体" w:cs="方正仿宋简体"/>
          <w:sz w:val="32"/>
          <w:szCs w:val="32"/>
        </w:rPr>
        <w:t>万元，决算数大于预算数的主要原因是年中追加了计划生育目标管理考核奖励资金。</w:t>
      </w:r>
    </w:p>
    <w:p>
      <w:pPr>
        <w:topLinePunct/>
        <w:spacing w:line="560" w:lineRule="exact"/>
        <w:ind w:firstLine="640" w:firstLineChars="200"/>
        <w:rPr>
          <w:rFonts w:eastAsia="方正仿宋简体"/>
          <w:sz w:val="32"/>
          <w:szCs w:val="32"/>
        </w:rPr>
      </w:pPr>
      <w:r>
        <w:rPr>
          <w:rFonts w:eastAsia="方正仿宋简体"/>
          <w:sz w:val="32"/>
          <w:szCs w:val="32"/>
        </w:rPr>
        <w:t>12</w:t>
      </w:r>
      <w:r>
        <w:rPr>
          <w:rFonts w:hint="eastAsia" w:eastAsia="方正仿宋简体" w:cs="方正仿宋简体"/>
          <w:sz w:val="32"/>
          <w:szCs w:val="32"/>
        </w:rPr>
        <w:t>、医疗卫生与计划生育支出（类）行政事业单位医疗（款）行政单位医疗（项）。年初预算为</w:t>
      </w:r>
      <w:r>
        <w:rPr>
          <w:rFonts w:eastAsia="方正仿宋简体"/>
          <w:sz w:val="32"/>
          <w:szCs w:val="32"/>
        </w:rPr>
        <w:t>350</w:t>
      </w:r>
      <w:r>
        <w:rPr>
          <w:rFonts w:hint="eastAsia" w:eastAsia="方正仿宋简体" w:cs="方正仿宋简体"/>
          <w:sz w:val="32"/>
          <w:szCs w:val="32"/>
        </w:rPr>
        <w:t>万元，支出决算为</w:t>
      </w:r>
      <w:r>
        <w:rPr>
          <w:rFonts w:eastAsia="方正仿宋简体"/>
          <w:sz w:val="32"/>
          <w:szCs w:val="32"/>
        </w:rPr>
        <w:t>439.87</w:t>
      </w:r>
      <w:r>
        <w:rPr>
          <w:rFonts w:hint="eastAsia" w:eastAsia="方正仿宋简体" w:cs="方正仿宋简体"/>
          <w:sz w:val="32"/>
          <w:szCs w:val="32"/>
        </w:rPr>
        <w:t>万元，完成年初预算的</w:t>
      </w:r>
      <w:r>
        <w:rPr>
          <w:rFonts w:eastAsia="方正仿宋简体"/>
          <w:sz w:val="32"/>
          <w:szCs w:val="32"/>
        </w:rPr>
        <w:t>125.68%</w:t>
      </w:r>
      <w:r>
        <w:rPr>
          <w:rFonts w:hint="eastAsia" w:eastAsia="方正仿宋简体" w:cs="方正仿宋简体"/>
          <w:sz w:val="32"/>
          <w:szCs w:val="32"/>
        </w:rPr>
        <w:t>。决算数大于预算数的主要原因是使用了上年行政单位医疗结转资金，以及年中追加了部分行政单位医疗补助资金。</w:t>
      </w:r>
    </w:p>
    <w:p>
      <w:pPr>
        <w:topLinePunct/>
        <w:spacing w:line="560" w:lineRule="exact"/>
        <w:ind w:firstLine="640" w:firstLineChars="200"/>
        <w:rPr>
          <w:rFonts w:eastAsia="方正仿宋简体"/>
          <w:sz w:val="32"/>
          <w:szCs w:val="32"/>
        </w:rPr>
      </w:pPr>
      <w:r>
        <w:rPr>
          <w:rFonts w:eastAsia="方正仿宋简体"/>
          <w:sz w:val="32"/>
          <w:szCs w:val="32"/>
        </w:rPr>
        <w:t>13</w:t>
      </w:r>
      <w:r>
        <w:rPr>
          <w:rFonts w:hint="eastAsia" w:eastAsia="方正仿宋简体" w:cs="方正仿宋简体"/>
          <w:sz w:val="32"/>
          <w:szCs w:val="32"/>
        </w:rPr>
        <w:t>、医疗卫生与计划生育支出（类）优抚对象医疗（款）优抚对象医疗补助（项）。年初预算为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100</w:t>
      </w:r>
      <w:r>
        <w:rPr>
          <w:rFonts w:hint="eastAsia" w:eastAsia="方正仿宋简体" w:cs="方正仿宋简体"/>
          <w:sz w:val="32"/>
          <w:szCs w:val="32"/>
        </w:rPr>
        <w:t>万元，决算数大于预算数的主要原因是年中追加了优抚对象医疗补助资金。</w:t>
      </w:r>
    </w:p>
    <w:p>
      <w:pPr>
        <w:topLinePunct/>
        <w:spacing w:line="560" w:lineRule="exact"/>
        <w:ind w:firstLine="640" w:firstLineChars="200"/>
        <w:rPr>
          <w:rFonts w:eastAsia="方正仿宋简体"/>
          <w:sz w:val="32"/>
          <w:szCs w:val="32"/>
          <w:u w:val="single"/>
        </w:rPr>
      </w:pPr>
      <w:r>
        <w:rPr>
          <w:rFonts w:eastAsia="方正仿宋简体"/>
          <w:sz w:val="32"/>
          <w:szCs w:val="32"/>
        </w:rPr>
        <w:t>14</w:t>
      </w:r>
      <w:r>
        <w:rPr>
          <w:rFonts w:hint="eastAsia" w:eastAsia="方正仿宋简体" w:cs="方正仿宋简体"/>
          <w:sz w:val="32"/>
          <w:szCs w:val="32"/>
        </w:rPr>
        <w:t>、医疗卫生与计划生育支出（类）其他医疗卫生与计划生育支出（款）其他医疗卫生与计划生育支出（项）。年初预算为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0.20</w:t>
      </w:r>
      <w:r>
        <w:rPr>
          <w:rFonts w:hint="eastAsia" w:eastAsia="方正仿宋简体" w:cs="方正仿宋简体"/>
          <w:sz w:val="32"/>
          <w:szCs w:val="32"/>
        </w:rPr>
        <w:t>万元，决算数大于预算数的主要原因是年中追加了建国初期参加革命工作退休干部医疗补贴资金。</w:t>
      </w:r>
    </w:p>
    <w:p>
      <w:pPr>
        <w:topLinePunct/>
        <w:spacing w:line="560" w:lineRule="exact"/>
        <w:ind w:firstLine="640" w:firstLineChars="200"/>
        <w:rPr>
          <w:rFonts w:eastAsia="方正仿宋简体"/>
          <w:sz w:val="32"/>
          <w:szCs w:val="32"/>
        </w:rPr>
      </w:pPr>
      <w:r>
        <w:rPr>
          <w:rFonts w:eastAsia="方正仿宋简体"/>
          <w:sz w:val="32"/>
          <w:szCs w:val="32"/>
        </w:rPr>
        <w:t>15</w:t>
      </w:r>
      <w:r>
        <w:rPr>
          <w:rFonts w:hint="eastAsia" w:eastAsia="方正仿宋简体" w:cs="方正仿宋简体"/>
          <w:sz w:val="32"/>
          <w:szCs w:val="32"/>
        </w:rPr>
        <w:t>、节能环保支出（类）能源节约利用（款）能源节约利用（项）。年初预算为</w:t>
      </w:r>
      <w:r>
        <w:rPr>
          <w:rFonts w:eastAsia="方正仿宋简体"/>
          <w:sz w:val="32"/>
          <w:szCs w:val="32"/>
        </w:rPr>
        <w:t>0</w:t>
      </w:r>
      <w:r>
        <w:rPr>
          <w:rFonts w:hint="eastAsia" w:eastAsia="方正仿宋简体" w:cs="方正仿宋简体"/>
          <w:sz w:val="32"/>
          <w:szCs w:val="32"/>
        </w:rPr>
        <w:t>万元，支出决算为</w:t>
      </w:r>
      <w:r>
        <w:rPr>
          <w:rFonts w:eastAsia="方正仿宋简体"/>
          <w:sz w:val="32"/>
          <w:szCs w:val="32"/>
        </w:rPr>
        <w:t>29.98</w:t>
      </w:r>
      <w:r>
        <w:rPr>
          <w:rFonts w:hint="eastAsia" w:eastAsia="方正仿宋简体" w:cs="方正仿宋简体"/>
          <w:sz w:val="32"/>
          <w:szCs w:val="32"/>
        </w:rPr>
        <w:t>万元，决算数大于预算数的主要原因是年中追加了公共机构节能专项资金。</w:t>
      </w:r>
    </w:p>
    <w:p>
      <w:pPr>
        <w:topLinePunct/>
        <w:spacing w:line="560" w:lineRule="exact"/>
        <w:ind w:firstLine="640" w:firstLineChars="200"/>
        <w:rPr>
          <w:rFonts w:eastAsia="方正仿宋简体"/>
          <w:sz w:val="32"/>
          <w:szCs w:val="32"/>
        </w:rPr>
      </w:pPr>
      <w:r>
        <w:rPr>
          <w:rFonts w:eastAsia="方正仿宋简体"/>
          <w:sz w:val="32"/>
          <w:szCs w:val="32"/>
        </w:rPr>
        <w:t>16</w:t>
      </w:r>
      <w:r>
        <w:rPr>
          <w:rFonts w:hint="eastAsia" w:eastAsia="方正仿宋简体" w:cs="方正仿宋简体"/>
          <w:sz w:val="32"/>
          <w:szCs w:val="32"/>
        </w:rPr>
        <w:t>、住房保障支出（类）住房改革支出（款）：</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1</w:t>
      </w:r>
      <w:r>
        <w:rPr>
          <w:rFonts w:hint="eastAsia" w:eastAsia="方正仿宋简体" w:cs="方正仿宋简体"/>
          <w:sz w:val="32"/>
          <w:szCs w:val="32"/>
        </w:rPr>
        <w:t>）住房公积金（项）。年初预算为</w:t>
      </w:r>
      <w:r>
        <w:rPr>
          <w:rFonts w:eastAsia="方正仿宋简体"/>
          <w:sz w:val="32"/>
          <w:szCs w:val="32"/>
        </w:rPr>
        <w:t>362</w:t>
      </w:r>
      <w:r>
        <w:rPr>
          <w:rFonts w:hint="eastAsia" w:eastAsia="方正仿宋简体" w:cs="方正仿宋简体"/>
          <w:sz w:val="32"/>
          <w:szCs w:val="32"/>
        </w:rPr>
        <w:t>万元，支出决算为</w:t>
      </w:r>
      <w:r>
        <w:rPr>
          <w:rFonts w:eastAsia="方正仿宋简体"/>
          <w:sz w:val="32"/>
          <w:szCs w:val="32"/>
        </w:rPr>
        <w:t>362</w:t>
      </w:r>
      <w:r>
        <w:rPr>
          <w:rFonts w:hint="eastAsia" w:eastAsia="方正仿宋简体" w:cs="方正仿宋简体"/>
          <w:sz w:val="32"/>
          <w:szCs w:val="32"/>
        </w:rPr>
        <w:t>万元，完成年初预算的</w:t>
      </w:r>
      <w:r>
        <w:rPr>
          <w:rFonts w:eastAsia="方正仿宋简体"/>
          <w:sz w:val="32"/>
          <w:szCs w:val="32"/>
        </w:rPr>
        <w:t>100%</w:t>
      </w:r>
      <w:r>
        <w:rPr>
          <w:rFonts w:hint="eastAsia" w:eastAsia="方正仿宋简体" w:cs="方正仿宋简体"/>
          <w:sz w:val="32"/>
          <w:szCs w:val="32"/>
        </w:rPr>
        <w:t>。</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）购房补贴（项）。年初预算为</w:t>
      </w:r>
      <w:r>
        <w:rPr>
          <w:rFonts w:eastAsia="方正仿宋简体"/>
          <w:sz w:val="32"/>
          <w:szCs w:val="32"/>
        </w:rPr>
        <w:t>35</w:t>
      </w:r>
      <w:r>
        <w:rPr>
          <w:rFonts w:hint="eastAsia" w:eastAsia="方正仿宋简体" w:cs="方正仿宋简体"/>
          <w:sz w:val="32"/>
          <w:szCs w:val="32"/>
        </w:rPr>
        <w:t>万元，支出决算为</w:t>
      </w:r>
      <w:r>
        <w:rPr>
          <w:rFonts w:eastAsia="方正仿宋简体"/>
          <w:sz w:val="32"/>
          <w:szCs w:val="32"/>
        </w:rPr>
        <w:t>35</w:t>
      </w:r>
      <w:r>
        <w:rPr>
          <w:rFonts w:hint="eastAsia" w:eastAsia="方正仿宋简体" w:cs="方正仿宋简体"/>
          <w:sz w:val="32"/>
          <w:szCs w:val="32"/>
        </w:rPr>
        <w:t>万元，完成年初预算的</w:t>
      </w:r>
      <w:r>
        <w:rPr>
          <w:rFonts w:eastAsia="方正仿宋简体"/>
          <w:sz w:val="32"/>
          <w:szCs w:val="32"/>
        </w:rPr>
        <w:t>100%</w:t>
      </w:r>
      <w:r>
        <w:rPr>
          <w:rFonts w:hint="eastAsia" w:eastAsia="方正仿宋简体" w:cs="方正仿宋简体"/>
          <w:sz w:val="32"/>
          <w:szCs w:val="32"/>
        </w:rPr>
        <w:t>。</w:t>
      </w:r>
    </w:p>
    <w:p>
      <w:pPr>
        <w:topLinePunct/>
        <w:spacing w:line="560" w:lineRule="exact"/>
        <w:ind w:firstLine="640" w:firstLineChars="200"/>
        <w:rPr>
          <w:rFonts w:eastAsia="方正仿宋简体"/>
          <w:b/>
          <w:bCs/>
          <w:sz w:val="32"/>
          <w:szCs w:val="32"/>
        </w:rPr>
      </w:pPr>
      <w:r>
        <w:rPr>
          <w:rFonts w:hint="eastAsia" w:eastAsia="方正仿宋简体" w:cs="方正仿宋简体"/>
          <w:b/>
          <w:bCs/>
          <w:sz w:val="32"/>
          <w:szCs w:val="32"/>
        </w:rPr>
        <w:t>六、一般公共预算财政拨款基本支出决算情况说明</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年一般公共预算财政拨款基本支出</w:t>
      </w:r>
      <w:r>
        <w:rPr>
          <w:rFonts w:eastAsia="方正仿宋简体"/>
          <w:sz w:val="32"/>
          <w:szCs w:val="32"/>
        </w:rPr>
        <w:t>9651.10</w:t>
      </w:r>
      <w:r>
        <w:rPr>
          <w:rFonts w:hint="eastAsia" w:eastAsia="方正仿宋简体" w:cs="方正仿宋简体"/>
          <w:sz w:val="32"/>
          <w:szCs w:val="32"/>
        </w:rPr>
        <w:t>万元，其中：</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人员经费</w:t>
      </w:r>
      <w:r>
        <w:rPr>
          <w:rFonts w:eastAsia="方正仿宋简体"/>
          <w:sz w:val="32"/>
          <w:szCs w:val="32"/>
        </w:rPr>
        <w:t>7812.71</w:t>
      </w:r>
      <w:r>
        <w:rPr>
          <w:rFonts w:hint="eastAsia" w:eastAsia="方正仿宋简体" w:cs="方正仿宋简体"/>
          <w:sz w:val="32"/>
          <w:szCs w:val="32"/>
        </w:rPr>
        <w:t>万元，占</w:t>
      </w:r>
      <w:r>
        <w:rPr>
          <w:rFonts w:eastAsia="方正仿宋简体"/>
          <w:sz w:val="32"/>
          <w:szCs w:val="32"/>
        </w:rPr>
        <w:t>80.95%</w:t>
      </w:r>
      <w:r>
        <w:rPr>
          <w:rFonts w:hint="eastAsia" w:eastAsia="方正仿宋简体" w:cs="方正仿宋简体"/>
          <w:sz w:val="32"/>
          <w:szCs w:val="32"/>
        </w:rPr>
        <w:t>，主要包括：基本工资、津贴补贴、奖金、社会保障缴费、伙食补助费、其他工资福利支出、离休费、抚恤金、生活补助、医疗费、奖励金、住房公积金、购房补贴、其他对个人和家庭的补助支出等。</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公用经费</w:t>
      </w:r>
      <w:r>
        <w:rPr>
          <w:rFonts w:eastAsia="方正仿宋简体"/>
          <w:sz w:val="32"/>
          <w:szCs w:val="32"/>
        </w:rPr>
        <w:t>1838.39</w:t>
      </w:r>
      <w:r>
        <w:rPr>
          <w:rFonts w:hint="eastAsia" w:eastAsia="方正仿宋简体" w:cs="方正仿宋简体"/>
          <w:sz w:val="32"/>
          <w:szCs w:val="32"/>
        </w:rPr>
        <w:t>万元，占</w:t>
      </w:r>
      <w:r>
        <w:rPr>
          <w:rFonts w:eastAsia="方正仿宋简体"/>
          <w:sz w:val="32"/>
          <w:szCs w:val="32"/>
        </w:rPr>
        <w:t>19.05%</w:t>
      </w:r>
      <w:r>
        <w:rPr>
          <w:rFonts w:hint="eastAsia" w:eastAsia="方正仿宋简体" w:cs="方正仿宋简体"/>
          <w:sz w:val="32"/>
          <w:szCs w:val="32"/>
        </w:rPr>
        <w:t>，主要包括：办公费、印刷费、水费、电费、邮电费、取暖费、物业管理费、差旅费、因公出国（境）费、维修（护）费、租赁费、会议费、培训费、公务接待费、劳务费、工会经费、福利费、公务用车运行维护费、其他商品和服务支出等。</w:t>
      </w:r>
    </w:p>
    <w:p>
      <w:pPr>
        <w:topLinePunct/>
        <w:spacing w:line="560" w:lineRule="exact"/>
        <w:ind w:firstLine="640" w:firstLineChars="200"/>
        <w:rPr>
          <w:rFonts w:ascii="黑体" w:eastAsia="黑体"/>
          <w:sz w:val="32"/>
          <w:szCs w:val="32"/>
        </w:rPr>
      </w:pPr>
      <w:r>
        <w:rPr>
          <w:rFonts w:hint="eastAsia" w:ascii="黑体" w:eastAsia="黑体" w:cs="黑体"/>
          <w:sz w:val="32"/>
          <w:szCs w:val="32"/>
        </w:rPr>
        <w:t>七、一般公共预算财政拨款“三公”经费支出决算情况说明</w:t>
      </w:r>
    </w:p>
    <w:p>
      <w:pPr>
        <w:topLinePunct/>
        <w:spacing w:line="56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（一）“三公”经费财政拨款支出决算总体情况说明。</w:t>
      </w:r>
    </w:p>
    <w:p>
      <w:pPr>
        <w:topLinePunct/>
        <w:spacing w:line="560" w:lineRule="exact"/>
        <w:ind w:firstLine="660"/>
        <w:jc w:val="left"/>
        <w:rPr>
          <w:rFonts w:eastAsia="方正仿宋简体"/>
          <w:sz w:val="32"/>
          <w:szCs w:val="32"/>
        </w:rPr>
      </w:pPr>
      <w:r>
        <w:rPr>
          <w:rFonts w:eastAsia="方正仿宋简体"/>
          <w:sz w:val="32"/>
          <w:szCs w:val="32"/>
        </w:rPr>
        <w:t>2018</w:t>
      </w:r>
      <w:r>
        <w:rPr>
          <w:rFonts w:hint="eastAsia" w:eastAsia="方正仿宋简体" w:cs="方正仿宋简体"/>
          <w:sz w:val="32"/>
          <w:szCs w:val="32"/>
        </w:rPr>
        <w:t>年度</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经费财政拨款支出预算为</w:t>
      </w:r>
      <w:r>
        <w:rPr>
          <w:rFonts w:eastAsia="方正仿宋简体"/>
          <w:sz w:val="32"/>
          <w:szCs w:val="32"/>
        </w:rPr>
        <w:t>236</w:t>
      </w:r>
      <w:r>
        <w:rPr>
          <w:rFonts w:hint="eastAsia" w:eastAsia="方正仿宋简体" w:cs="方正仿宋简体"/>
          <w:sz w:val="32"/>
          <w:szCs w:val="32"/>
        </w:rPr>
        <w:t>万元，支出决算为</w:t>
      </w:r>
      <w:r>
        <w:rPr>
          <w:rFonts w:eastAsia="方正仿宋简体"/>
          <w:sz w:val="32"/>
          <w:szCs w:val="32"/>
        </w:rPr>
        <w:t>188.98</w:t>
      </w:r>
      <w:r>
        <w:rPr>
          <w:rFonts w:hint="eastAsia" w:eastAsia="方正仿宋简体" w:cs="方正仿宋简体"/>
          <w:sz w:val="32"/>
          <w:szCs w:val="32"/>
        </w:rPr>
        <w:t>万元，完成预算的</w:t>
      </w:r>
      <w:r>
        <w:rPr>
          <w:rFonts w:eastAsia="方正仿宋简体"/>
          <w:sz w:val="32"/>
          <w:szCs w:val="32"/>
        </w:rPr>
        <w:t>80.08%</w:t>
      </w:r>
      <w:r>
        <w:rPr>
          <w:rFonts w:hint="eastAsia" w:eastAsia="方正仿宋简体" w:cs="方正仿宋简体"/>
          <w:sz w:val="32"/>
          <w:szCs w:val="32"/>
        </w:rPr>
        <w:t>。其中：因公出国（境）费支出决算为</w:t>
      </w:r>
      <w:r>
        <w:rPr>
          <w:rFonts w:eastAsia="方正仿宋简体"/>
          <w:sz w:val="32"/>
          <w:szCs w:val="32"/>
        </w:rPr>
        <w:t>26.73</w:t>
      </w:r>
      <w:r>
        <w:rPr>
          <w:rFonts w:hint="eastAsia" w:eastAsia="方正仿宋简体" w:cs="方正仿宋简体"/>
          <w:sz w:val="32"/>
          <w:szCs w:val="32"/>
        </w:rPr>
        <w:t>万元，完成预算的</w:t>
      </w:r>
      <w:r>
        <w:rPr>
          <w:rFonts w:eastAsia="方正仿宋简体"/>
          <w:sz w:val="32"/>
          <w:szCs w:val="32"/>
        </w:rPr>
        <w:t>89.10%</w:t>
      </w:r>
      <w:r>
        <w:rPr>
          <w:rFonts w:hint="eastAsia" w:eastAsia="方正仿宋简体" w:cs="方正仿宋简体"/>
          <w:sz w:val="32"/>
          <w:szCs w:val="32"/>
        </w:rPr>
        <w:t>；公务用车购置及运行费支出决算为</w:t>
      </w:r>
      <w:r>
        <w:rPr>
          <w:rFonts w:eastAsia="方正仿宋简体"/>
          <w:sz w:val="32"/>
          <w:szCs w:val="32"/>
        </w:rPr>
        <w:t>143.94</w:t>
      </w:r>
      <w:r>
        <w:rPr>
          <w:rFonts w:hint="eastAsia" w:eastAsia="方正仿宋简体" w:cs="方正仿宋简体"/>
          <w:sz w:val="32"/>
          <w:szCs w:val="32"/>
        </w:rPr>
        <w:t>万元，完成预算的</w:t>
      </w:r>
      <w:r>
        <w:rPr>
          <w:rFonts w:eastAsia="方正仿宋简体"/>
          <w:sz w:val="32"/>
          <w:szCs w:val="32"/>
        </w:rPr>
        <w:t>99.96%</w:t>
      </w:r>
      <w:r>
        <w:rPr>
          <w:rFonts w:hint="eastAsia" w:eastAsia="方正仿宋简体" w:cs="方正仿宋简体"/>
          <w:sz w:val="32"/>
          <w:szCs w:val="32"/>
        </w:rPr>
        <w:t>；公务接待费支出决算为</w:t>
      </w:r>
      <w:r>
        <w:rPr>
          <w:rFonts w:eastAsia="方正仿宋简体"/>
          <w:sz w:val="32"/>
          <w:szCs w:val="32"/>
        </w:rPr>
        <w:t>18.31</w:t>
      </w:r>
      <w:r>
        <w:rPr>
          <w:rFonts w:hint="eastAsia" w:eastAsia="方正仿宋简体" w:cs="方正仿宋简体"/>
          <w:sz w:val="32"/>
          <w:szCs w:val="32"/>
        </w:rPr>
        <w:t>万元，完成预算的</w:t>
      </w:r>
      <w:r>
        <w:rPr>
          <w:rFonts w:eastAsia="方正仿宋简体"/>
          <w:sz w:val="32"/>
          <w:szCs w:val="32"/>
        </w:rPr>
        <w:t>29.53%</w:t>
      </w:r>
      <w:r>
        <w:rPr>
          <w:rFonts w:hint="eastAsia" w:eastAsia="方正仿宋简体" w:cs="方正仿宋简体"/>
          <w:sz w:val="32"/>
          <w:szCs w:val="32"/>
        </w:rPr>
        <w:t>。</w:t>
      </w:r>
      <w:r>
        <w:rPr>
          <w:rFonts w:eastAsia="方正仿宋简体"/>
          <w:sz w:val="32"/>
          <w:szCs w:val="32"/>
        </w:rPr>
        <w:t>2018</w:t>
      </w:r>
      <w:r>
        <w:rPr>
          <w:rFonts w:hint="eastAsia" w:eastAsia="方正仿宋简体" w:cs="方正仿宋简体"/>
          <w:sz w:val="32"/>
          <w:szCs w:val="32"/>
        </w:rPr>
        <w:t>年度</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经费支出决算数小于预算数的主要原因是认真贯彻执行中央</w:t>
      </w:r>
      <w:r>
        <w:rPr>
          <w:rFonts w:eastAsia="方正仿宋简体"/>
          <w:sz w:val="32"/>
          <w:szCs w:val="32"/>
        </w:rPr>
        <w:t>“</w:t>
      </w:r>
      <w:r>
        <w:rPr>
          <w:rFonts w:hint="eastAsia" w:eastAsia="方正仿宋简体" w:cs="方正仿宋简体"/>
          <w:sz w:val="32"/>
          <w:szCs w:val="32"/>
        </w:rPr>
        <w:t>八项规定</w:t>
      </w:r>
      <w:r>
        <w:rPr>
          <w:rFonts w:eastAsia="方正仿宋简体"/>
          <w:sz w:val="32"/>
          <w:szCs w:val="32"/>
        </w:rPr>
        <w:t>”</w:t>
      </w:r>
      <w:r>
        <w:rPr>
          <w:rFonts w:hint="eastAsia" w:eastAsia="方正仿宋简体" w:cs="方正仿宋简体"/>
          <w:sz w:val="32"/>
          <w:szCs w:val="32"/>
        </w:rPr>
        <w:t>和省委</w:t>
      </w:r>
      <w:r>
        <w:rPr>
          <w:rFonts w:eastAsia="方正仿宋简体"/>
          <w:sz w:val="32"/>
          <w:szCs w:val="32"/>
        </w:rPr>
        <w:t>“</w:t>
      </w:r>
      <w:r>
        <w:rPr>
          <w:rFonts w:hint="eastAsia" w:eastAsia="方正仿宋简体" w:cs="方正仿宋简体"/>
          <w:sz w:val="32"/>
          <w:szCs w:val="32"/>
        </w:rPr>
        <w:t>九项规定</w:t>
      </w:r>
      <w:r>
        <w:rPr>
          <w:rFonts w:eastAsia="方正仿宋简体"/>
          <w:sz w:val="32"/>
          <w:szCs w:val="32"/>
        </w:rPr>
        <w:t>”</w:t>
      </w:r>
      <w:r>
        <w:rPr>
          <w:rFonts w:hint="eastAsia" w:eastAsia="方正仿宋简体" w:cs="方正仿宋简体"/>
          <w:sz w:val="32"/>
          <w:szCs w:val="32"/>
        </w:rPr>
        <w:t>，厉行勤俭节约，严格落实公函和接待清单制，进一步从严控制</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经费开支，</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经费特别是公务接待费保持逐年下降态势。</w:t>
      </w:r>
    </w:p>
    <w:p>
      <w:pPr>
        <w:topLinePunct/>
        <w:spacing w:line="560" w:lineRule="exact"/>
        <w:ind w:firstLine="660"/>
        <w:jc w:val="left"/>
        <w:rPr>
          <w:rFonts w:ascii="楷体_GB2312" w:eastAsia="楷体_GB2312"/>
          <w:b/>
          <w:bCs/>
          <w:sz w:val="32"/>
          <w:szCs w:val="32"/>
        </w:rPr>
      </w:pPr>
      <w:r>
        <w:rPr>
          <w:rFonts w:hint="eastAsia" w:ascii="楷体_GB2312" w:eastAsia="楷体_GB2312" w:cs="楷体_GB2312"/>
          <w:b/>
          <w:bCs/>
          <w:sz w:val="32"/>
          <w:szCs w:val="32"/>
        </w:rPr>
        <w:t>（二）“三公”经费财政拨款支出决算具体情况说明。</w:t>
      </w:r>
    </w:p>
    <w:p>
      <w:pPr>
        <w:topLinePunct/>
        <w:spacing w:line="560" w:lineRule="exact"/>
        <w:ind w:firstLine="660"/>
        <w:jc w:val="left"/>
        <w:rPr>
          <w:rFonts w:eastAsia="方正仿宋简体"/>
          <w:sz w:val="32"/>
          <w:szCs w:val="32"/>
        </w:rPr>
      </w:pPr>
      <w:r>
        <w:rPr>
          <w:rFonts w:eastAsia="方正仿宋简体"/>
          <w:sz w:val="32"/>
          <w:szCs w:val="32"/>
        </w:rPr>
        <w:t>2018</w:t>
      </w:r>
      <w:r>
        <w:rPr>
          <w:rFonts w:hint="eastAsia" w:eastAsia="方正仿宋简体" w:cs="方正仿宋简体"/>
          <w:sz w:val="32"/>
          <w:szCs w:val="32"/>
        </w:rPr>
        <w:t>年度</w:t>
      </w:r>
      <w:r>
        <w:rPr>
          <w:rFonts w:eastAsia="方正仿宋简体"/>
          <w:sz w:val="32"/>
          <w:szCs w:val="32"/>
        </w:rPr>
        <w:t>“</w:t>
      </w:r>
      <w:r>
        <w:rPr>
          <w:rFonts w:hint="eastAsia" w:eastAsia="方正仿宋简体" w:cs="方正仿宋简体"/>
          <w:sz w:val="32"/>
          <w:szCs w:val="32"/>
        </w:rPr>
        <w:t>三公</w:t>
      </w:r>
      <w:r>
        <w:rPr>
          <w:rFonts w:eastAsia="方正仿宋简体"/>
          <w:sz w:val="32"/>
          <w:szCs w:val="32"/>
        </w:rPr>
        <w:t>”</w:t>
      </w:r>
      <w:r>
        <w:rPr>
          <w:rFonts w:hint="eastAsia" w:eastAsia="方正仿宋简体" w:cs="方正仿宋简体"/>
          <w:sz w:val="32"/>
          <w:szCs w:val="32"/>
        </w:rPr>
        <w:t>经费财政拨款支出决算中，因公出国（境）费支出决算</w:t>
      </w:r>
      <w:r>
        <w:rPr>
          <w:rFonts w:eastAsia="方正仿宋简体"/>
          <w:sz w:val="32"/>
          <w:szCs w:val="32"/>
        </w:rPr>
        <w:t>26.73</w:t>
      </w:r>
      <w:r>
        <w:rPr>
          <w:rFonts w:hint="eastAsia" w:eastAsia="方正仿宋简体" w:cs="方正仿宋简体"/>
          <w:sz w:val="32"/>
          <w:szCs w:val="32"/>
        </w:rPr>
        <w:t>万元，占</w:t>
      </w:r>
      <w:r>
        <w:rPr>
          <w:rFonts w:eastAsia="方正仿宋简体"/>
          <w:sz w:val="32"/>
          <w:szCs w:val="32"/>
        </w:rPr>
        <w:t>14.14%</w:t>
      </w:r>
      <w:r>
        <w:rPr>
          <w:rFonts w:hint="eastAsia" w:eastAsia="方正仿宋简体" w:cs="方正仿宋简体"/>
          <w:sz w:val="32"/>
          <w:szCs w:val="32"/>
        </w:rPr>
        <w:t>；公务用车购置及运行费支出决算</w:t>
      </w:r>
      <w:r>
        <w:rPr>
          <w:rFonts w:eastAsia="方正仿宋简体"/>
          <w:sz w:val="32"/>
          <w:szCs w:val="32"/>
        </w:rPr>
        <w:t>143.94</w:t>
      </w:r>
      <w:r>
        <w:rPr>
          <w:rFonts w:hint="eastAsia" w:eastAsia="方正仿宋简体" w:cs="方正仿宋简体"/>
          <w:sz w:val="32"/>
          <w:szCs w:val="32"/>
        </w:rPr>
        <w:t>万元，占</w:t>
      </w:r>
      <w:r>
        <w:rPr>
          <w:rFonts w:eastAsia="方正仿宋简体"/>
          <w:sz w:val="32"/>
          <w:szCs w:val="32"/>
        </w:rPr>
        <w:t>76.17%</w:t>
      </w:r>
      <w:r>
        <w:rPr>
          <w:rFonts w:hint="eastAsia" w:eastAsia="方正仿宋简体" w:cs="方正仿宋简体"/>
          <w:sz w:val="32"/>
          <w:szCs w:val="32"/>
        </w:rPr>
        <w:t>；公务接待费支出决算</w:t>
      </w:r>
      <w:r>
        <w:rPr>
          <w:rFonts w:eastAsia="方正仿宋简体"/>
          <w:sz w:val="32"/>
          <w:szCs w:val="32"/>
        </w:rPr>
        <w:t>18.31</w:t>
      </w:r>
      <w:r>
        <w:rPr>
          <w:rFonts w:hint="eastAsia" w:eastAsia="方正仿宋简体" w:cs="方正仿宋简体"/>
          <w:sz w:val="32"/>
          <w:szCs w:val="32"/>
        </w:rPr>
        <w:t>万元，占</w:t>
      </w:r>
      <w:r>
        <w:rPr>
          <w:rFonts w:eastAsia="方正仿宋简体"/>
          <w:sz w:val="32"/>
          <w:szCs w:val="32"/>
        </w:rPr>
        <w:t>9.69%</w:t>
      </w:r>
      <w:r>
        <w:rPr>
          <w:rFonts w:hint="eastAsia" w:eastAsia="方正仿宋简体" w:cs="方正仿宋简体"/>
          <w:sz w:val="32"/>
          <w:szCs w:val="32"/>
        </w:rPr>
        <w:t>。具体情况如下：</w:t>
      </w:r>
    </w:p>
    <w:p>
      <w:pPr>
        <w:topLinePunct/>
        <w:spacing w:line="560" w:lineRule="exact"/>
        <w:ind w:firstLine="640" w:firstLineChars="200"/>
        <w:jc w:val="left"/>
        <w:rPr>
          <w:rFonts w:eastAsia="方正仿宋简体"/>
          <w:sz w:val="32"/>
          <w:szCs w:val="32"/>
        </w:rPr>
      </w:pPr>
      <w:r>
        <w:rPr>
          <w:rFonts w:eastAsia="方正仿宋简体"/>
          <w:sz w:val="32"/>
          <w:szCs w:val="32"/>
        </w:rPr>
        <w:t>1</w:t>
      </w:r>
      <w:r>
        <w:rPr>
          <w:rFonts w:hint="eastAsia" w:eastAsia="方正仿宋简体" w:cs="方正仿宋简体"/>
          <w:sz w:val="32"/>
          <w:szCs w:val="32"/>
        </w:rPr>
        <w:t>、因公出国（境）费支出</w:t>
      </w:r>
      <w:r>
        <w:rPr>
          <w:rFonts w:eastAsia="方正仿宋简体"/>
          <w:sz w:val="32"/>
          <w:szCs w:val="32"/>
        </w:rPr>
        <w:t>26.73</w:t>
      </w:r>
      <w:r>
        <w:rPr>
          <w:rFonts w:hint="eastAsia" w:eastAsia="方正仿宋简体" w:cs="方正仿宋简体"/>
          <w:sz w:val="32"/>
          <w:szCs w:val="32"/>
        </w:rPr>
        <w:t>万元。主要是厅机关参加出国业务培训发生的签注费、车船费、公务杂支、培训费、差旅费等支出。</w:t>
      </w:r>
      <w:r>
        <w:rPr>
          <w:rFonts w:eastAsia="方正仿宋简体"/>
          <w:sz w:val="32"/>
          <w:szCs w:val="32"/>
        </w:rPr>
        <w:t>2018</w:t>
      </w:r>
      <w:r>
        <w:rPr>
          <w:rFonts w:hint="eastAsia" w:eastAsia="方正仿宋简体" w:cs="方正仿宋简体"/>
          <w:sz w:val="32"/>
          <w:szCs w:val="32"/>
        </w:rPr>
        <w:t>年共组织安排出访团组</w:t>
      </w:r>
      <w:r>
        <w:rPr>
          <w:rFonts w:eastAsia="方正仿宋简体"/>
          <w:sz w:val="32"/>
          <w:szCs w:val="32"/>
        </w:rPr>
        <w:t>4</w:t>
      </w:r>
      <w:r>
        <w:rPr>
          <w:rFonts w:hint="eastAsia" w:eastAsia="方正仿宋简体" w:cs="方正仿宋简体"/>
          <w:sz w:val="32"/>
          <w:szCs w:val="32"/>
        </w:rPr>
        <w:t>个，</w:t>
      </w:r>
      <w:r>
        <w:rPr>
          <w:rFonts w:eastAsia="方正仿宋简体"/>
          <w:sz w:val="32"/>
          <w:szCs w:val="32"/>
        </w:rPr>
        <w:t>5</w:t>
      </w:r>
      <w:r>
        <w:rPr>
          <w:rFonts w:hint="eastAsia" w:eastAsia="方正仿宋简体" w:cs="方正仿宋简体"/>
          <w:sz w:val="32"/>
          <w:szCs w:val="32"/>
        </w:rPr>
        <w:t>人次。因公出国（境）费支出决算比</w:t>
      </w:r>
      <w:r>
        <w:rPr>
          <w:rFonts w:eastAsia="方正仿宋简体"/>
          <w:sz w:val="32"/>
          <w:szCs w:val="32"/>
        </w:rPr>
        <w:t>2017</w:t>
      </w:r>
      <w:r>
        <w:rPr>
          <w:rFonts w:hint="eastAsia" w:eastAsia="方正仿宋简体" w:cs="方正仿宋简体"/>
          <w:sz w:val="32"/>
          <w:szCs w:val="32"/>
        </w:rPr>
        <w:t>年减少</w:t>
      </w:r>
      <w:r>
        <w:rPr>
          <w:rFonts w:eastAsia="方正仿宋简体"/>
          <w:sz w:val="32"/>
          <w:szCs w:val="32"/>
        </w:rPr>
        <w:t>0.89</w:t>
      </w:r>
      <w:r>
        <w:rPr>
          <w:rFonts w:hint="eastAsia" w:eastAsia="方正仿宋简体" w:cs="方正仿宋简体"/>
          <w:sz w:val="32"/>
          <w:szCs w:val="32"/>
        </w:rPr>
        <w:t>万元，下降</w:t>
      </w:r>
      <w:r>
        <w:rPr>
          <w:rFonts w:eastAsia="方正仿宋简体"/>
          <w:sz w:val="32"/>
          <w:szCs w:val="32"/>
        </w:rPr>
        <w:t>3.22%</w:t>
      </w:r>
      <w:r>
        <w:rPr>
          <w:rFonts w:hint="eastAsia" w:eastAsia="方正仿宋简体" w:cs="方正仿宋简体"/>
          <w:sz w:val="32"/>
          <w:szCs w:val="32"/>
        </w:rPr>
        <w:t>，主要原因是严格贯彻落实中央八项规定，从严控制因公出国（境）费开支。</w:t>
      </w:r>
    </w:p>
    <w:p>
      <w:pPr>
        <w:topLinePunct/>
        <w:spacing w:line="560" w:lineRule="exact"/>
        <w:ind w:firstLine="660"/>
        <w:jc w:val="left"/>
        <w:rPr>
          <w:rFonts w:eastAsia="方正仿宋简体"/>
          <w:sz w:val="32"/>
          <w:szCs w:val="32"/>
        </w:rPr>
      </w:pPr>
      <w:r>
        <w:rPr>
          <w:rFonts w:eastAsia="方正仿宋简体"/>
          <w:sz w:val="32"/>
          <w:szCs w:val="32"/>
        </w:rPr>
        <w:t>2</w:t>
      </w:r>
      <w:r>
        <w:rPr>
          <w:rFonts w:hint="eastAsia" w:eastAsia="方正仿宋简体" w:cs="方正仿宋简体"/>
          <w:sz w:val="32"/>
          <w:szCs w:val="32"/>
        </w:rPr>
        <w:t>、公务用车购置及运行费支出</w:t>
      </w:r>
      <w:r>
        <w:rPr>
          <w:rFonts w:eastAsia="方正仿宋简体"/>
          <w:sz w:val="32"/>
          <w:szCs w:val="32"/>
        </w:rPr>
        <w:t>143.94</w:t>
      </w:r>
      <w:r>
        <w:rPr>
          <w:rFonts w:hint="eastAsia" w:eastAsia="方正仿宋简体" w:cs="方正仿宋简体"/>
          <w:sz w:val="32"/>
          <w:szCs w:val="32"/>
        </w:rPr>
        <w:t>万元。主要是厅机关和直属单位按规定保留的公务用车和业务用车的购置支出（含车辆购置税）及燃料费、过桥过路费、维修维护费、保险费等支出。</w:t>
      </w:r>
      <w:r>
        <w:rPr>
          <w:rFonts w:eastAsia="方正仿宋简体"/>
          <w:sz w:val="32"/>
          <w:szCs w:val="32"/>
        </w:rPr>
        <w:t>2018</w:t>
      </w:r>
      <w:r>
        <w:rPr>
          <w:rFonts w:hint="eastAsia" w:eastAsia="方正仿宋简体" w:cs="方正仿宋简体"/>
          <w:sz w:val="32"/>
          <w:szCs w:val="32"/>
        </w:rPr>
        <w:t>年底厅机关和直属单位的公务用车保有量为</w:t>
      </w:r>
      <w:r>
        <w:rPr>
          <w:rFonts w:eastAsia="方正仿宋简体"/>
          <w:sz w:val="32"/>
          <w:szCs w:val="32"/>
        </w:rPr>
        <w:t>28</w:t>
      </w:r>
      <w:r>
        <w:rPr>
          <w:rFonts w:hint="eastAsia" w:eastAsia="方正仿宋简体" w:cs="方正仿宋简体"/>
          <w:sz w:val="32"/>
          <w:szCs w:val="32"/>
        </w:rPr>
        <w:t>台。公务用车购置费支出决算</w:t>
      </w:r>
      <w:r>
        <w:rPr>
          <w:rFonts w:eastAsia="方正仿宋简体"/>
          <w:sz w:val="32"/>
          <w:szCs w:val="32"/>
        </w:rPr>
        <w:t>17.98</w:t>
      </w:r>
      <w:r>
        <w:rPr>
          <w:rFonts w:hint="eastAsia" w:eastAsia="方正仿宋简体" w:cs="方正仿宋简体"/>
          <w:sz w:val="32"/>
          <w:szCs w:val="32"/>
        </w:rPr>
        <w:t>万元，比</w:t>
      </w:r>
      <w:r>
        <w:rPr>
          <w:rFonts w:eastAsia="方正仿宋简体"/>
          <w:sz w:val="32"/>
          <w:szCs w:val="32"/>
        </w:rPr>
        <w:t>2017</w:t>
      </w:r>
      <w:r>
        <w:rPr>
          <w:rFonts w:hint="eastAsia" w:eastAsia="方正仿宋简体" w:cs="方正仿宋简体"/>
          <w:sz w:val="32"/>
          <w:szCs w:val="32"/>
        </w:rPr>
        <w:t>年增加</w:t>
      </w:r>
      <w:r>
        <w:rPr>
          <w:rFonts w:eastAsia="方正仿宋简体"/>
          <w:sz w:val="32"/>
          <w:szCs w:val="32"/>
        </w:rPr>
        <w:t>17.98</w:t>
      </w:r>
      <w:r>
        <w:rPr>
          <w:rFonts w:hint="eastAsia" w:eastAsia="方正仿宋简体" w:cs="方正仿宋简体"/>
          <w:sz w:val="32"/>
          <w:szCs w:val="32"/>
        </w:rPr>
        <w:t>万元，主要原因是经批准新购置了</w:t>
      </w:r>
      <w:r>
        <w:rPr>
          <w:rFonts w:eastAsia="方正仿宋简体"/>
          <w:sz w:val="32"/>
          <w:szCs w:val="32"/>
        </w:rPr>
        <w:t>1</w:t>
      </w:r>
      <w:r>
        <w:rPr>
          <w:rFonts w:hint="eastAsia" w:eastAsia="方正仿宋简体" w:cs="方正仿宋简体"/>
          <w:sz w:val="32"/>
          <w:szCs w:val="32"/>
        </w:rPr>
        <w:t>台公务用车。公务用车运行费支出决算</w:t>
      </w:r>
      <w:r>
        <w:rPr>
          <w:rFonts w:eastAsia="方正仿宋简体"/>
          <w:sz w:val="32"/>
          <w:szCs w:val="32"/>
        </w:rPr>
        <w:t>125.96</w:t>
      </w:r>
      <w:r>
        <w:rPr>
          <w:rFonts w:hint="eastAsia" w:eastAsia="方正仿宋简体" w:cs="方正仿宋简体"/>
          <w:sz w:val="32"/>
          <w:szCs w:val="32"/>
        </w:rPr>
        <w:t>万元，比</w:t>
      </w:r>
      <w:r>
        <w:rPr>
          <w:rFonts w:eastAsia="方正仿宋简体"/>
          <w:sz w:val="32"/>
          <w:szCs w:val="32"/>
        </w:rPr>
        <w:t>2017</w:t>
      </w:r>
      <w:r>
        <w:rPr>
          <w:rFonts w:hint="eastAsia" w:eastAsia="方正仿宋简体" w:cs="方正仿宋简体"/>
          <w:sz w:val="32"/>
          <w:szCs w:val="32"/>
        </w:rPr>
        <w:t>年增加</w:t>
      </w:r>
      <w:r>
        <w:rPr>
          <w:rFonts w:eastAsia="方正仿宋简体"/>
          <w:sz w:val="32"/>
          <w:szCs w:val="32"/>
        </w:rPr>
        <w:t>24.27</w:t>
      </w:r>
      <w:r>
        <w:rPr>
          <w:rFonts w:hint="eastAsia" w:eastAsia="方正仿宋简体" w:cs="方正仿宋简体"/>
          <w:sz w:val="32"/>
          <w:szCs w:val="32"/>
        </w:rPr>
        <w:t>万元，增长</w:t>
      </w:r>
      <w:r>
        <w:rPr>
          <w:rFonts w:eastAsia="方正仿宋简体"/>
          <w:sz w:val="32"/>
          <w:szCs w:val="32"/>
        </w:rPr>
        <w:t>23.87%</w:t>
      </w:r>
      <w:r>
        <w:rPr>
          <w:rFonts w:hint="eastAsia" w:eastAsia="方正仿宋简体" w:cs="方正仿宋简体"/>
          <w:sz w:val="32"/>
          <w:szCs w:val="32"/>
        </w:rPr>
        <w:t>，主要原因是</w:t>
      </w:r>
      <w:r>
        <w:rPr>
          <w:rFonts w:eastAsia="方正仿宋简体"/>
          <w:sz w:val="32"/>
          <w:szCs w:val="32"/>
        </w:rPr>
        <w:t>2018</w:t>
      </w:r>
      <w:r>
        <w:rPr>
          <w:rFonts w:hint="eastAsia" w:eastAsia="方正仿宋简体" w:cs="方正仿宋简体"/>
          <w:sz w:val="32"/>
          <w:szCs w:val="32"/>
        </w:rPr>
        <w:t>年民政工作任务和公务用车增加。</w:t>
      </w:r>
    </w:p>
    <w:p>
      <w:pPr>
        <w:topLinePunct/>
        <w:spacing w:line="560" w:lineRule="exact"/>
        <w:ind w:firstLine="660"/>
        <w:jc w:val="left"/>
        <w:rPr>
          <w:rFonts w:eastAsia="方正仿宋简体"/>
          <w:sz w:val="32"/>
          <w:szCs w:val="32"/>
        </w:rPr>
      </w:pPr>
      <w:r>
        <w:rPr>
          <w:rFonts w:eastAsia="方正仿宋简体"/>
          <w:sz w:val="32"/>
          <w:szCs w:val="32"/>
        </w:rPr>
        <w:t>3</w:t>
      </w:r>
      <w:r>
        <w:rPr>
          <w:rFonts w:hint="eastAsia" w:eastAsia="方正仿宋简体" w:cs="方正仿宋简体"/>
          <w:sz w:val="32"/>
          <w:szCs w:val="32"/>
        </w:rPr>
        <w:t>、公务接待费支出</w:t>
      </w:r>
      <w:r>
        <w:rPr>
          <w:rFonts w:eastAsia="方正仿宋简体"/>
          <w:sz w:val="32"/>
          <w:szCs w:val="32"/>
        </w:rPr>
        <w:t>18.31</w:t>
      </w:r>
      <w:r>
        <w:rPr>
          <w:rFonts w:hint="eastAsia" w:eastAsia="方正仿宋简体" w:cs="方正仿宋简体"/>
          <w:sz w:val="32"/>
          <w:szCs w:val="32"/>
        </w:rPr>
        <w:t>万元。主要是厅机关和直属单位为执行公务或开展业务活动需要开支的接待费用。</w:t>
      </w:r>
      <w:r>
        <w:rPr>
          <w:rFonts w:eastAsia="方正仿宋简体"/>
          <w:sz w:val="32"/>
          <w:szCs w:val="32"/>
        </w:rPr>
        <w:t>2018</w:t>
      </w:r>
      <w:r>
        <w:rPr>
          <w:rFonts w:hint="eastAsia" w:eastAsia="方正仿宋简体" w:cs="方正仿宋简体"/>
          <w:sz w:val="32"/>
          <w:szCs w:val="32"/>
        </w:rPr>
        <w:t>年共接待国内团组</w:t>
      </w:r>
      <w:r>
        <w:rPr>
          <w:rFonts w:eastAsia="方正仿宋简体"/>
          <w:sz w:val="32"/>
          <w:szCs w:val="32"/>
        </w:rPr>
        <w:t>524</w:t>
      </w:r>
      <w:r>
        <w:rPr>
          <w:rFonts w:hint="eastAsia" w:eastAsia="方正仿宋简体" w:cs="方正仿宋简体"/>
          <w:sz w:val="32"/>
          <w:szCs w:val="32"/>
        </w:rPr>
        <w:t>个，来宾</w:t>
      </w:r>
      <w:r>
        <w:rPr>
          <w:rFonts w:eastAsia="方正仿宋简体"/>
          <w:sz w:val="32"/>
          <w:szCs w:val="32"/>
        </w:rPr>
        <w:t>5083</w:t>
      </w:r>
      <w:r>
        <w:rPr>
          <w:rFonts w:hint="eastAsia" w:eastAsia="方正仿宋简体" w:cs="方正仿宋简体"/>
          <w:sz w:val="32"/>
          <w:szCs w:val="32"/>
        </w:rPr>
        <w:t>人次。公务接待费支出决算比</w:t>
      </w:r>
      <w:r>
        <w:rPr>
          <w:rFonts w:eastAsia="方正仿宋简体"/>
          <w:sz w:val="32"/>
          <w:szCs w:val="32"/>
        </w:rPr>
        <w:t>2017</w:t>
      </w:r>
      <w:r>
        <w:rPr>
          <w:rFonts w:hint="eastAsia" w:eastAsia="方正仿宋简体" w:cs="方正仿宋简体"/>
          <w:sz w:val="32"/>
          <w:szCs w:val="32"/>
        </w:rPr>
        <w:t>年减少</w:t>
      </w:r>
      <w:r>
        <w:rPr>
          <w:rFonts w:eastAsia="方正仿宋简体"/>
          <w:sz w:val="32"/>
          <w:szCs w:val="32"/>
        </w:rPr>
        <w:t>30.65</w:t>
      </w:r>
      <w:r>
        <w:rPr>
          <w:rFonts w:hint="eastAsia" w:eastAsia="方正仿宋简体" w:cs="方正仿宋简体"/>
          <w:sz w:val="32"/>
          <w:szCs w:val="32"/>
        </w:rPr>
        <w:t>万元，下降</w:t>
      </w:r>
      <w:r>
        <w:rPr>
          <w:rFonts w:eastAsia="方正仿宋简体"/>
          <w:sz w:val="32"/>
          <w:szCs w:val="32"/>
        </w:rPr>
        <w:t>62.60%</w:t>
      </w:r>
      <w:r>
        <w:rPr>
          <w:rFonts w:hint="eastAsia" w:eastAsia="方正仿宋简体" w:cs="方正仿宋简体"/>
          <w:sz w:val="32"/>
          <w:szCs w:val="32"/>
        </w:rPr>
        <w:t>，主要原因是积极贯彻落实中央关于厉行节约的要求，从严控制公务接待行为。</w:t>
      </w:r>
    </w:p>
    <w:p>
      <w:pPr>
        <w:topLinePunct/>
        <w:spacing w:line="560" w:lineRule="exact"/>
        <w:ind w:firstLine="640" w:firstLineChars="200"/>
        <w:rPr>
          <w:rFonts w:ascii="黑体" w:eastAsia="黑体"/>
          <w:sz w:val="32"/>
          <w:szCs w:val="32"/>
        </w:rPr>
      </w:pPr>
      <w:r>
        <w:rPr>
          <w:rFonts w:hint="eastAsia" w:ascii="黑体" w:eastAsia="黑体" w:cs="黑体"/>
          <w:sz w:val="32"/>
          <w:szCs w:val="32"/>
        </w:rPr>
        <w:t>八、政府性基金预算收入支出决算情况说明</w:t>
      </w:r>
    </w:p>
    <w:p>
      <w:pPr>
        <w:topLinePunct/>
        <w:spacing w:line="560" w:lineRule="exact"/>
        <w:ind w:firstLine="640" w:firstLineChars="200"/>
        <w:rPr>
          <w:rFonts w:eastAsia="方正仿宋简体"/>
          <w:sz w:val="32"/>
          <w:szCs w:val="32"/>
        </w:rPr>
      </w:pPr>
      <w:r>
        <w:rPr>
          <w:rFonts w:eastAsia="方正仿宋简体"/>
          <w:sz w:val="32"/>
          <w:szCs w:val="32"/>
        </w:rPr>
        <w:t>2018</w:t>
      </w:r>
      <w:r>
        <w:rPr>
          <w:rFonts w:hint="eastAsia" w:eastAsia="方正仿宋简体" w:cs="方正仿宋简体"/>
          <w:sz w:val="32"/>
          <w:szCs w:val="32"/>
        </w:rPr>
        <w:t>年政府性基金预算年初结转和结余</w:t>
      </w:r>
      <w:r>
        <w:rPr>
          <w:rFonts w:eastAsia="方正仿宋简体"/>
          <w:sz w:val="32"/>
          <w:szCs w:val="32"/>
        </w:rPr>
        <w:t>2254.56</w:t>
      </w:r>
      <w:r>
        <w:rPr>
          <w:rFonts w:hint="eastAsia" w:eastAsia="方正仿宋简体" w:cs="方正仿宋简体"/>
          <w:sz w:val="32"/>
          <w:szCs w:val="32"/>
        </w:rPr>
        <w:t>万元，本年收入</w:t>
      </w:r>
      <w:r>
        <w:rPr>
          <w:rFonts w:eastAsia="方正仿宋简体"/>
          <w:sz w:val="32"/>
          <w:szCs w:val="32"/>
        </w:rPr>
        <w:t>7891.99</w:t>
      </w:r>
      <w:r>
        <w:rPr>
          <w:rFonts w:hint="eastAsia" w:eastAsia="方正仿宋简体" w:cs="方正仿宋简体"/>
          <w:sz w:val="32"/>
          <w:szCs w:val="32"/>
        </w:rPr>
        <w:t>万元，本年支出</w:t>
      </w:r>
      <w:r>
        <w:rPr>
          <w:rFonts w:eastAsia="方正仿宋简体"/>
          <w:sz w:val="32"/>
          <w:szCs w:val="32"/>
        </w:rPr>
        <w:t>5431.44</w:t>
      </w:r>
      <w:r>
        <w:rPr>
          <w:rFonts w:hint="eastAsia" w:eastAsia="方正仿宋简体" w:cs="方正仿宋简体"/>
          <w:sz w:val="32"/>
          <w:szCs w:val="32"/>
        </w:rPr>
        <w:t>万元，主要用于老年福利、儿童福利、残疾人福利和社会公益事业等支出，年末结转和结余</w:t>
      </w:r>
      <w:r>
        <w:rPr>
          <w:rFonts w:eastAsia="方正仿宋简体"/>
          <w:sz w:val="32"/>
          <w:szCs w:val="32"/>
        </w:rPr>
        <w:t>4715.11</w:t>
      </w:r>
      <w:r>
        <w:rPr>
          <w:rFonts w:hint="eastAsia" w:eastAsia="方正仿宋简体" w:cs="方正仿宋简体"/>
          <w:sz w:val="32"/>
          <w:szCs w:val="32"/>
        </w:rPr>
        <w:t>万元，主要是部分项目因政府采购和建设周期较长，需要延长到下一年度。</w:t>
      </w:r>
    </w:p>
    <w:p>
      <w:pPr>
        <w:topLinePunct/>
        <w:spacing w:line="560" w:lineRule="exact"/>
        <w:ind w:firstLine="640" w:firstLineChars="200"/>
        <w:rPr>
          <w:rFonts w:ascii="黑体" w:eastAsia="黑体"/>
          <w:sz w:val="32"/>
          <w:szCs w:val="32"/>
        </w:rPr>
      </w:pPr>
      <w:r>
        <w:rPr>
          <w:rFonts w:hint="eastAsia" w:ascii="黑体" w:eastAsia="黑体" w:cs="黑体"/>
          <w:sz w:val="32"/>
          <w:szCs w:val="32"/>
        </w:rPr>
        <w:t>九、预算绩效情况说明</w:t>
      </w:r>
    </w:p>
    <w:p>
      <w:pPr>
        <w:topLinePunct/>
        <w:spacing w:line="56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（一）预算绩效管理工作开展情况</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根据《湖南省财政厅关于开展</w:t>
      </w:r>
      <w:r>
        <w:rPr>
          <w:rFonts w:eastAsia="方正仿宋简体"/>
          <w:sz w:val="32"/>
          <w:szCs w:val="32"/>
        </w:rPr>
        <w:t>2018</w:t>
      </w:r>
      <w:r>
        <w:rPr>
          <w:rFonts w:hint="eastAsia" w:eastAsia="方正仿宋简体" w:cs="方正仿宋简体"/>
          <w:sz w:val="32"/>
          <w:szCs w:val="32"/>
        </w:rPr>
        <w:t>年度部门整体支出绩效自评工作的通知》（湘财〔</w:t>
      </w:r>
      <w:r>
        <w:rPr>
          <w:rFonts w:eastAsia="方正仿宋简体"/>
          <w:sz w:val="32"/>
          <w:szCs w:val="32"/>
        </w:rPr>
        <w:t>2019</w:t>
      </w:r>
      <w:r>
        <w:rPr>
          <w:rFonts w:hint="eastAsia" w:eastAsia="方正仿宋简体" w:cs="方正仿宋简体"/>
          <w:sz w:val="32"/>
          <w:szCs w:val="32"/>
        </w:rPr>
        <w:t>〕</w:t>
      </w:r>
      <w:r>
        <w:rPr>
          <w:rFonts w:eastAsia="方正仿宋简体"/>
          <w:sz w:val="32"/>
          <w:szCs w:val="32"/>
        </w:rPr>
        <w:t>2</w:t>
      </w:r>
      <w:r>
        <w:rPr>
          <w:rFonts w:hint="eastAsia" w:eastAsia="方正仿宋简体" w:cs="方正仿宋简体"/>
          <w:sz w:val="32"/>
          <w:szCs w:val="32"/>
        </w:rPr>
        <w:t>号）要求，省民政厅成立绩效评价工作领导小组，专门下发文件，于</w:t>
      </w:r>
      <w:r>
        <w:rPr>
          <w:rFonts w:eastAsia="方正仿宋简体"/>
          <w:sz w:val="32"/>
          <w:szCs w:val="32"/>
        </w:rPr>
        <w:t>2019</w:t>
      </w:r>
      <w:r>
        <w:rPr>
          <w:rFonts w:hint="eastAsia" w:eastAsia="方正仿宋简体" w:cs="方正仿宋简体"/>
          <w:sz w:val="32"/>
          <w:szCs w:val="32"/>
        </w:rPr>
        <w:t>年</w:t>
      </w:r>
      <w:r>
        <w:rPr>
          <w:rFonts w:eastAsia="方正仿宋简体"/>
          <w:sz w:val="32"/>
          <w:szCs w:val="32"/>
        </w:rPr>
        <w:t>4</w:t>
      </w:r>
      <w:r>
        <w:rPr>
          <w:rFonts w:hint="eastAsia" w:eastAsia="方正仿宋简体" w:cs="方正仿宋简体"/>
          <w:sz w:val="32"/>
          <w:szCs w:val="32"/>
        </w:rPr>
        <w:t>月</w:t>
      </w:r>
      <w:r>
        <w:rPr>
          <w:rFonts w:eastAsia="方正仿宋简体"/>
          <w:sz w:val="32"/>
          <w:szCs w:val="32"/>
        </w:rPr>
        <w:t>15</w:t>
      </w:r>
      <w:r>
        <w:rPr>
          <w:rFonts w:hint="eastAsia" w:eastAsia="方正仿宋简体" w:cs="方正仿宋简体"/>
          <w:sz w:val="32"/>
          <w:szCs w:val="32"/>
        </w:rPr>
        <w:t>日至</w:t>
      </w:r>
      <w:r>
        <w:rPr>
          <w:rFonts w:eastAsia="方正仿宋简体"/>
          <w:sz w:val="32"/>
          <w:szCs w:val="32"/>
        </w:rPr>
        <w:t>5</w:t>
      </w:r>
      <w:r>
        <w:rPr>
          <w:rFonts w:hint="eastAsia" w:eastAsia="方正仿宋简体" w:cs="方正仿宋简体"/>
          <w:sz w:val="32"/>
          <w:szCs w:val="32"/>
        </w:rPr>
        <w:t>月</w:t>
      </w:r>
      <w:r>
        <w:rPr>
          <w:rFonts w:eastAsia="方正仿宋简体"/>
          <w:sz w:val="32"/>
          <w:szCs w:val="32"/>
        </w:rPr>
        <w:t>20</w:t>
      </w:r>
      <w:r>
        <w:rPr>
          <w:rFonts w:hint="eastAsia" w:eastAsia="方正仿宋简体" w:cs="方正仿宋简体"/>
          <w:sz w:val="32"/>
          <w:szCs w:val="32"/>
        </w:rPr>
        <w:t>日组织开展</w:t>
      </w:r>
      <w:r>
        <w:rPr>
          <w:rFonts w:eastAsia="方正仿宋简体"/>
          <w:sz w:val="32"/>
          <w:szCs w:val="32"/>
        </w:rPr>
        <w:t>2018</w:t>
      </w:r>
      <w:r>
        <w:rPr>
          <w:rFonts w:hint="eastAsia" w:eastAsia="方正仿宋简体" w:cs="方正仿宋简体"/>
          <w:sz w:val="32"/>
          <w:szCs w:val="32"/>
        </w:rPr>
        <w:t>年度部门整体支出绩效自评工作。通过绩效自评，掌握了部门整体支出使用情况和取得的效果，总结了项目资金管理经验，发现了工作中存在的问题不足，为进一步规范财政支出管理、健全项目和资金使用管理、完善预算和绩效目标管理提供了重要参考。</w:t>
      </w:r>
    </w:p>
    <w:p>
      <w:pPr>
        <w:topLinePunct/>
        <w:spacing w:line="56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（二）绩效自评结果</w:t>
      </w:r>
    </w:p>
    <w:p>
      <w:pPr>
        <w:topLinePunct/>
        <w:spacing w:line="560" w:lineRule="exact"/>
        <w:ind w:firstLine="640" w:firstLineChars="200"/>
        <w:rPr>
          <w:rFonts w:eastAsia="方正仿宋简体"/>
          <w:color w:val="000000"/>
          <w:sz w:val="32"/>
          <w:szCs w:val="32"/>
        </w:rPr>
      </w:pPr>
      <w:r>
        <w:rPr>
          <w:rFonts w:hint="eastAsia" w:eastAsia="方正仿宋简体" w:cs="方正仿宋简体"/>
          <w:color w:val="000000"/>
          <w:sz w:val="32"/>
          <w:szCs w:val="32"/>
        </w:rPr>
        <w:t>根据《部门整体支出绩效评价指标》评分内容和指标，绩效自评得分为</w:t>
      </w:r>
      <w:r>
        <w:rPr>
          <w:rFonts w:eastAsia="方正仿宋简体"/>
          <w:color w:val="000000"/>
          <w:sz w:val="32"/>
          <w:szCs w:val="32"/>
        </w:rPr>
        <w:t>92</w:t>
      </w:r>
      <w:r>
        <w:rPr>
          <w:rFonts w:hint="eastAsia" w:eastAsia="方正仿宋简体" w:cs="方正仿宋简体"/>
          <w:color w:val="000000"/>
          <w:sz w:val="32"/>
          <w:szCs w:val="32"/>
        </w:rPr>
        <w:t>分，部门整体支出绩效为</w:t>
      </w:r>
      <w:r>
        <w:rPr>
          <w:rFonts w:eastAsia="方正仿宋简体"/>
          <w:color w:val="000000"/>
          <w:sz w:val="32"/>
          <w:szCs w:val="32"/>
        </w:rPr>
        <w:t>“</w:t>
      </w:r>
      <w:r>
        <w:rPr>
          <w:rFonts w:hint="eastAsia" w:eastAsia="方正仿宋简体" w:cs="方正仿宋简体"/>
          <w:color w:val="000000"/>
          <w:sz w:val="32"/>
          <w:szCs w:val="32"/>
        </w:rPr>
        <w:t>优</w:t>
      </w:r>
      <w:r>
        <w:rPr>
          <w:rFonts w:eastAsia="方正仿宋简体"/>
          <w:color w:val="000000"/>
          <w:sz w:val="32"/>
          <w:szCs w:val="32"/>
        </w:rPr>
        <w:t>”</w:t>
      </w:r>
      <w:r>
        <w:rPr>
          <w:rFonts w:hint="eastAsia" w:eastAsia="方正仿宋简体" w:cs="方正仿宋简体"/>
          <w:color w:val="000000"/>
          <w:sz w:val="32"/>
          <w:szCs w:val="32"/>
        </w:rPr>
        <w:t>。同时，加大评价结果应用力度，将评价结果与资金安排挂钩，对于资金使用效益低、问题较多的市县予以通报，并扣减下一年度专项资金分配数额。</w:t>
      </w:r>
    </w:p>
    <w:p>
      <w:pPr>
        <w:topLinePunct/>
        <w:spacing w:line="560" w:lineRule="exact"/>
        <w:ind w:firstLine="640" w:firstLineChars="200"/>
        <w:rPr>
          <w:rFonts w:ascii="黑体" w:eastAsia="黑体"/>
          <w:sz w:val="32"/>
          <w:szCs w:val="32"/>
        </w:rPr>
      </w:pPr>
      <w:r>
        <w:rPr>
          <w:rFonts w:hint="eastAsia" w:ascii="黑体" w:eastAsia="黑体" w:cs="黑体"/>
          <w:sz w:val="32"/>
          <w:szCs w:val="32"/>
        </w:rPr>
        <w:t>十、其他重要事项的情况说明</w:t>
      </w:r>
    </w:p>
    <w:p>
      <w:pPr>
        <w:topLinePunct/>
        <w:spacing w:line="560" w:lineRule="exact"/>
        <w:ind w:firstLine="643" w:firstLineChars="200"/>
        <w:rPr>
          <w:rFonts w:eastAsia="方正仿宋简体"/>
          <w:b/>
          <w:bCs/>
          <w:sz w:val="32"/>
          <w:szCs w:val="32"/>
        </w:rPr>
      </w:pPr>
      <w:r>
        <w:rPr>
          <w:rFonts w:hint="eastAsia" w:ascii="楷体_GB2312" w:eastAsia="楷体_GB2312" w:cs="楷体_GB2312"/>
          <w:b/>
          <w:bCs/>
          <w:sz w:val="32"/>
          <w:szCs w:val="32"/>
        </w:rPr>
        <w:t>（一）机关运行经费支出情况。</w:t>
      </w:r>
      <w:r>
        <w:rPr>
          <w:rFonts w:eastAsia="方正仿宋简体"/>
          <w:sz w:val="32"/>
          <w:szCs w:val="32"/>
        </w:rPr>
        <w:t>2018</w:t>
      </w:r>
      <w:r>
        <w:rPr>
          <w:rFonts w:hint="eastAsia" w:eastAsia="方正仿宋简体" w:cs="方正仿宋简体"/>
          <w:sz w:val="32"/>
          <w:szCs w:val="32"/>
        </w:rPr>
        <w:t>年度，机关运行经费支出</w:t>
      </w:r>
      <w:r>
        <w:rPr>
          <w:rFonts w:eastAsia="方正仿宋简体"/>
          <w:sz w:val="32"/>
          <w:szCs w:val="32"/>
        </w:rPr>
        <w:t>1466.82</w:t>
      </w:r>
      <w:r>
        <w:rPr>
          <w:rFonts w:hint="eastAsia" w:eastAsia="方正仿宋简体" w:cs="方正仿宋简体"/>
          <w:sz w:val="32"/>
          <w:szCs w:val="32"/>
        </w:rPr>
        <w:t>万元，比</w:t>
      </w:r>
      <w:r>
        <w:rPr>
          <w:rFonts w:eastAsia="方正仿宋简体"/>
          <w:sz w:val="32"/>
          <w:szCs w:val="32"/>
        </w:rPr>
        <w:t>2017</w:t>
      </w:r>
      <w:r>
        <w:rPr>
          <w:rFonts w:hint="eastAsia" w:eastAsia="方正仿宋简体" w:cs="方正仿宋简体"/>
          <w:sz w:val="32"/>
          <w:szCs w:val="32"/>
        </w:rPr>
        <w:t>年增加</w:t>
      </w:r>
      <w:r>
        <w:rPr>
          <w:rFonts w:eastAsia="方正仿宋简体"/>
          <w:sz w:val="32"/>
          <w:szCs w:val="32"/>
        </w:rPr>
        <w:t>294.54</w:t>
      </w:r>
      <w:r>
        <w:rPr>
          <w:rFonts w:hint="eastAsia" w:eastAsia="方正仿宋简体" w:cs="方正仿宋简体"/>
          <w:sz w:val="32"/>
          <w:szCs w:val="32"/>
        </w:rPr>
        <w:t>万元，增长</w:t>
      </w:r>
      <w:r>
        <w:rPr>
          <w:rFonts w:eastAsia="方正仿宋简体"/>
          <w:sz w:val="32"/>
          <w:szCs w:val="32"/>
        </w:rPr>
        <w:t>25.13%</w:t>
      </w:r>
      <w:r>
        <w:rPr>
          <w:rFonts w:hint="eastAsia" w:eastAsia="方正仿宋简体" w:cs="方正仿宋简体"/>
          <w:sz w:val="32"/>
          <w:szCs w:val="32"/>
        </w:rPr>
        <w:t>，主要原因是有关办公费用价格上涨和后勤保障支出增加。</w:t>
      </w:r>
    </w:p>
    <w:p>
      <w:pPr>
        <w:topLinePunct/>
        <w:spacing w:line="560" w:lineRule="exact"/>
        <w:ind w:firstLine="643" w:firstLineChars="200"/>
        <w:rPr>
          <w:rFonts w:hint="default" w:eastAsia="方正仿宋简体"/>
          <w:b/>
          <w:bCs/>
          <w:color w:val="000000"/>
          <w:sz w:val="32"/>
          <w:szCs w:val="32"/>
          <w:lang w:val="en-US" w:eastAsia="zh-CN"/>
        </w:rPr>
      </w:pPr>
      <w:r>
        <w:rPr>
          <w:rFonts w:hint="eastAsia" w:ascii="楷体_GB2312" w:eastAsia="楷体_GB2312" w:cs="楷体_GB2312"/>
          <w:b/>
          <w:bCs/>
          <w:color w:val="000000"/>
          <w:sz w:val="32"/>
          <w:szCs w:val="32"/>
        </w:rPr>
        <w:t>（二）政府采购支出情况。</w:t>
      </w:r>
      <w:r>
        <w:rPr>
          <w:rFonts w:eastAsia="方正仿宋简体"/>
          <w:color w:val="000000"/>
          <w:sz w:val="32"/>
          <w:szCs w:val="32"/>
        </w:rPr>
        <w:t>2018</w:t>
      </w:r>
      <w:r>
        <w:rPr>
          <w:rFonts w:hint="eastAsia" w:eastAsia="方正仿宋简体" w:cs="方正仿宋简体"/>
          <w:color w:val="000000"/>
          <w:sz w:val="32"/>
          <w:szCs w:val="32"/>
        </w:rPr>
        <w:t>年度，政府采购支出总额</w:t>
      </w:r>
      <w:r>
        <w:rPr>
          <w:rFonts w:eastAsia="方正仿宋简体"/>
          <w:color w:val="000000"/>
          <w:sz w:val="32"/>
          <w:szCs w:val="32"/>
        </w:rPr>
        <w:t>7065.55</w:t>
      </w:r>
      <w:r>
        <w:rPr>
          <w:rFonts w:hint="eastAsia" w:eastAsia="方正仿宋简体" w:cs="方正仿宋简体"/>
          <w:color w:val="000000"/>
          <w:sz w:val="32"/>
          <w:szCs w:val="32"/>
        </w:rPr>
        <w:t>万元，其中：政府采购货物支出</w:t>
      </w:r>
      <w:r>
        <w:rPr>
          <w:rFonts w:eastAsia="方正仿宋简体"/>
          <w:color w:val="000000"/>
          <w:sz w:val="32"/>
          <w:szCs w:val="32"/>
        </w:rPr>
        <w:t>2190.99</w:t>
      </w:r>
      <w:r>
        <w:rPr>
          <w:rFonts w:hint="eastAsia" w:eastAsia="方正仿宋简体" w:cs="方正仿宋简体"/>
          <w:color w:val="000000"/>
          <w:sz w:val="32"/>
          <w:szCs w:val="32"/>
        </w:rPr>
        <w:t>万元</w:t>
      </w:r>
      <w:r>
        <w:rPr>
          <w:rFonts w:hint="eastAsia" w:eastAsia="方正仿宋简体" w:cs="方正仿宋简体"/>
          <w:color w:val="000000"/>
          <w:sz w:val="32"/>
          <w:szCs w:val="32"/>
          <w:lang w:eastAsia="zh-CN"/>
        </w:rPr>
        <w:t>，占比</w:t>
      </w:r>
      <w:r>
        <w:rPr>
          <w:rFonts w:hint="eastAsia" w:eastAsia="方正仿宋简体" w:cs="方正仿宋简体"/>
          <w:color w:val="000000"/>
          <w:sz w:val="32"/>
          <w:szCs w:val="32"/>
          <w:lang w:val="en-US" w:eastAsia="zh-CN"/>
        </w:rPr>
        <w:t>31.01%</w:t>
      </w:r>
      <w:r>
        <w:rPr>
          <w:rFonts w:hint="eastAsia" w:eastAsia="方正仿宋简体" w:cs="方正仿宋简体"/>
          <w:color w:val="000000"/>
          <w:sz w:val="32"/>
          <w:szCs w:val="32"/>
          <w:lang w:eastAsia="zh-CN"/>
        </w:rPr>
        <w:t>；</w:t>
      </w:r>
      <w:r>
        <w:rPr>
          <w:rFonts w:hint="eastAsia" w:eastAsia="方正仿宋简体" w:cs="方正仿宋简体"/>
          <w:color w:val="000000"/>
          <w:sz w:val="32"/>
          <w:szCs w:val="32"/>
        </w:rPr>
        <w:t>政府采购工程支出</w:t>
      </w:r>
      <w:r>
        <w:rPr>
          <w:rFonts w:eastAsia="方正仿宋简体"/>
          <w:color w:val="000000"/>
          <w:sz w:val="32"/>
          <w:szCs w:val="32"/>
        </w:rPr>
        <w:t>1675.18</w:t>
      </w:r>
      <w:r>
        <w:rPr>
          <w:rFonts w:hint="eastAsia" w:eastAsia="方正仿宋简体" w:cs="方正仿宋简体"/>
          <w:color w:val="000000"/>
          <w:sz w:val="32"/>
          <w:szCs w:val="32"/>
        </w:rPr>
        <w:t>万元</w:t>
      </w:r>
      <w:r>
        <w:rPr>
          <w:rFonts w:hint="eastAsia" w:eastAsia="方正仿宋简体" w:cs="方正仿宋简体"/>
          <w:color w:val="000000"/>
          <w:sz w:val="32"/>
          <w:szCs w:val="32"/>
          <w:lang w:eastAsia="zh-CN"/>
        </w:rPr>
        <w:t>，占比</w:t>
      </w:r>
      <w:r>
        <w:rPr>
          <w:rFonts w:hint="eastAsia" w:eastAsia="方正仿宋简体" w:cs="方正仿宋简体"/>
          <w:color w:val="000000"/>
          <w:sz w:val="32"/>
          <w:szCs w:val="32"/>
          <w:lang w:val="en-US" w:eastAsia="zh-CN"/>
        </w:rPr>
        <w:t>23.71%</w:t>
      </w:r>
      <w:r>
        <w:rPr>
          <w:rFonts w:hint="eastAsia" w:eastAsia="方正仿宋简体" w:cs="方正仿宋简体"/>
          <w:color w:val="000000"/>
          <w:sz w:val="32"/>
          <w:szCs w:val="32"/>
          <w:lang w:eastAsia="zh-CN"/>
        </w:rPr>
        <w:t>；</w:t>
      </w:r>
      <w:r>
        <w:rPr>
          <w:rFonts w:hint="eastAsia" w:eastAsia="方正仿宋简体" w:cs="方正仿宋简体"/>
          <w:color w:val="000000"/>
          <w:sz w:val="32"/>
          <w:szCs w:val="32"/>
        </w:rPr>
        <w:t>政府采购服务支出</w:t>
      </w:r>
      <w:r>
        <w:rPr>
          <w:rFonts w:eastAsia="方正仿宋简体"/>
          <w:color w:val="000000"/>
          <w:sz w:val="32"/>
          <w:szCs w:val="32"/>
        </w:rPr>
        <w:t>3199.38</w:t>
      </w:r>
      <w:r>
        <w:rPr>
          <w:rFonts w:hint="eastAsia" w:eastAsia="方正仿宋简体" w:cs="方正仿宋简体"/>
          <w:color w:val="000000"/>
          <w:sz w:val="32"/>
          <w:szCs w:val="32"/>
        </w:rPr>
        <w:t>万元</w:t>
      </w:r>
      <w:r>
        <w:rPr>
          <w:rFonts w:hint="eastAsia" w:eastAsia="方正仿宋简体" w:cs="方正仿宋简体"/>
          <w:color w:val="000000"/>
          <w:sz w:val="32"/>
          <w:szCs w:val="32"/>
          <w:lang w:eastAsia="zh-CN"/>
        </w:rPr>
        <w:t>，占比</w:t>
      </w:r>
      <w:r>
        <w:rPr>
          <w:rFonts w:hint="eastAsia" w:eastAsia="方正仿宋简体" w:cs="方正仿宋简体"/>
          <w:color w:val="000000"/>
          <w:sz w:val="32"/>
          <w:szCs w:val="32"/>
          <w:lang w:val="en-US" w:eastAsia="zh-CN"/>
        </w:rPr>
        <w:t>45.28%</w:t>
      </w:r>
      <w:r>
        <w:rPr>
          <w:rFonts w:hint="eastAsia" w:eastAsia="方正仿宋简体" w:cs="方正仿宋简体"/>
          <w:color w:val="000000"/>
          <w:sz w:val="32"/>
          <w:szCs w:val="32"/>
        </w:rPr>
        <w:t>。</w:t>
      </w:r>
      <w:r>
        <w:rPr>
          <w:rFonts w:hint="eastAsia" w:eastAsia="方正仿宋简体" w:cs="方正仿宋简体"/>
          <w:color w:val="000000"/>
          <w:sz w:val="32"/>
          <w:szCs w:val="32"/>
          <w:lang w:eastAsia="zh-CN"/>
        </w:rPr>
        <w:t>授予中小企业合同金额</w:t>
      </w:r>
      <w:r>
        <w:rPr>
          <w:rFonts w:hint="eastAsia" w:eastAsia="方正仿宋简体" w:cs="方正仿宋简体"/>
          <w:color w:val="000000"/>
          <w:sz w:val="32"/>
          <w:szCs w:val="32"/>
          <w:lang w:val="en-US" w:eastAsia="zh-CN"/>
        </w:rPr>
        <w:t>797.96万元</w:t>
      </w:r>
      <w:bookmarkStart w:id="0" w:name="_GoBack"/>
      <w:bookmarkEnd w:id="0"/>
      <w:r>
        <w:rPr>
          <w:rFonts w:hint="eastAsia" w:eastAsia="方正仿宋简体" w:cs="方正仿宋简体"/>
          <w:color w:val="000000"/>
          <w:sz w:val="32"/>
          <w:szCs w:val="32"/>
          <w:lang w:eastAsia="zh-CN"/>
        </w:rPr>
        <w:t>，占比</w:t>
      </w:r>
      <w:r>
        <w:rPr>
          <w:rFonts w:hint="eastAsia" w:eastAsia="方正仿宋简体" w:cs="方正仿宋简体"/>
          <w:color w:val="000000"/>
          <w:sz w:val="32"/>
          <w:szCs w:val="32"/>
          <w:lang w:val="en-US" w:eastAsia="zh-CN"/>
        </w:rPr>
        <w:t>11.29%</w:t>
      </w:r>
    </w:p>
    <w:p>
      <w:pPr>
        <w:topLinePunct/>
        <w:spacing w:line="560" w:lineRule="exact"/>
        <w:ind w:firstLine="643" w:firstLineChars="200"/>
        <w:rPr>
          <w:rFonts w:eastAsia="方正仿宋简体"/>
          <w:b/>
          <w:bCs/>
          <w:color w:val="000000"/>
          <w:sz w:val="32"/>
          <w:szCs w:val="32"/>
        </w:rPr>
      </w:pPr>
      <w:r>
        <w:rPr>
          <w:rFonts w:hint="eastAsia" w:ascii="楷体_GB2312" w:eastAsia="楷体_GB2312" w:cs="楷体_GB2312"/>
          <w:b/>
          <w:bCs/>
          <w:color w:val="000000"/>
          <w:sz w:val="32"/>
          <w:szCs w:val="32"/>
        </w:rPr>
        <w:t>（三）国有资产占用情况。</w:t>
      </w:r>
      <w:r>
        <w:rPr>
          <w:rFonts w:hint="eastAsia" w:eastAsia="方正仿宋简体" w:cs="方正仿宋简体"/>
          <w:color w:val="000000"/>
          <w:sz w:val="32"/>
          <w:szCs w:val="32"/>
        </w:rPr>
        <w:t>截至</w:t>
      </w:r>
      <w:r>
        <w:rPr>
          <w:rFonts w:eastAsia="方正仿宋简体"/>
          <w:color w:val="000000"/>
          <w:sz w:val="32"/>
          <w:szCs w:val="32"/>
        </w:rPr>
        <w:t>2018</w:t>
      </w:r>
      <w:r>
        <w:rPr>
          <w:rFonts w:hint="eastAsia" w:eastAsia="方正仿宋简体" w:cs="方正仿宋简体"/>
          <w:color w:val="000000"/>
          <w:sz w:val="32"/>
          <w:szCs w:val="32"/>
        </w:rPr>
        <w:t>年</w:t>
      </w:r>
      <w:r>
        <w:rPr>
          <w:rFonts w:eastAsia="方正仿宋简体"/>
          <w:color w:val="000000"/>
          <w:sz w:val="32"/>
          <w:szCs w:val="32"/>
        </w:rPr>
        <w:t>12</w:t>
      </w:r>
      <w:r>
        <w:rPr>
          <w:rFonts w:hint="eastAsia" w:eastAsia="方正仿宋简体" w:cs="方正仿宋简体"/>
          <w:color w:val="000000"/>
          <w:sz w:val="32"/>
          <w:szCs w:val="32"/>
        </w:rPr>
        <w:t>月</w:t>
      </w:r>
      <w:r>
        <w:rPr>
          <w:rFonts w:eastAsia="方正仿宋简体"/>
          <w:color w:val="000000"/>
          <w:sz w:val="32"/>
          <w:szCs w:val="32"/>
        </w:rPr>
        <w:t>31</w:t>
      </w:r>
      <w:r>
        <w:rPr>
          <w:rFonts w:hint="eastAsia" w:eastAsia="方正仿宋简体" w:cs="方正仿宋简体"/>
          <w:color w:val="000000"/>
          <w:sz w:val="32"/>
          <w:szCs w:val="32"/>
        </w:rPr>
        <w:t>日，共有车辆</w:t>
      </w:r>
      <w:r>
        <w:rPr>
          <w:rFonts w:eastAsia="方正仿宋简体"/>
          <w:color w:val="000000"/>
          <w:sz w:val="32"/>
          <w:szCs w:val="32"/>
        </w:rPr>
        <w:t>28</w:t>
      </w:r>
      <w:r>
        <w:rPr>
          <w:rFonts w:hint="eastAsia" w:eastAsia="方正仿宋简体" w:cs="方正仿宋简体"/>
          <w:color w:val="000000"/>
          <w:sz w:val="32"/>
          <w:szCs w:val="32"/>
        </w:rPr>
        <w:t>台，其中：主要领导干部用车</w:t>
      </w:r>
      <w:r>
        <w:rPr>
          <w:rFonts w:eastAsia="方正仿宋简体"/>
          <w:color w:val="000000"/>
          <w:sz w:val="32"/>
          <w:szCs w:val="32"/>
        </w:rPr>
        <w:t>1</w:t>
      </w:r>
      <w:r>
        <w:rPr>
          <w:rFonts w:hint="eastAsia" w:eastAsia="方正仿宋简体" w:cs="方正仿宋简体"/>
          <w:color w:val="000000"/>
          <w:sz w:val="32"/>
          <w:szCs w:val="32"/>
        </w:rPr>
        <w:t>台，机要通信用车</w:t>
      </w:r>
      <w:r>
        <w:rPr>
          <w:rFonts w:eastAsia="方正仿宋简体"/>
          <w:color w:val="000000"/>
          <w:sz w:val="32"/>
          <w:szCs w:val="32"/>
        </w:rPr>
        <w:t>1</w:t>
      </w:r>
      <w:r>
        <w:rPr>
          <w:rFonts w:hint="eastAsia" w:eastAsia="方正仿宋简体" w:cs="方正仿宋简体"/>
          <w:color w:val="000000"/>
          <w:sz w:val="32"/>
          <w:szCs w:val="32"/>
        </w:rPr>
        <w:t>台，应急保障用车</w:t>
      </w:r>
      <w:r>
        <w:rPr>
          <w:rFonts w:eastAsia="方正仿宋简体"/>
          <w:color w:val="000000"/>
          <w:sz w:val="32"/>
          <w:szCs w:val="32"/>
        </w:rPr>
        <w:t>6</w:t>
      </w:r>
      <w:r>
        <w:rPr>
          <w:rFonts w:hint="eastAsia" w:eastAsia="方正仿宋简体" w:cs="方正仿宋简体"/>
          <w:color w:val="000000"/>
          <w:sz w:val="32"/>
          <w:szCs w:val="32"/>
        </w:rPr>
        <w:t>台，特种专业技术用车</w:t>
      </w:r>
      <w:r>
        <w:rPr>
          <w:rFonts w:eastAsia="方正仿宋简体"/>
          <w:color w:val="000000"/>
          <w:sz w:val="32"/>
          <w:szCs w:val="32"/>
        </w:rPr>
        <w:t>1</w:t>
      </w:r>
      <w:r>
        <w:rPr>
          <w:rFonts w:hint="eastAsia" w:eastAsia="方正仿宋简体" w:cs="方正仿宋简体"/>
          <w:color w:val="000000"/>
          <w:sz w:val="32"/>
          <w:szCs w:val="32"/>
        </w:rPr>
        <w:t>台，离退休干部用车</w:t>
      </w:r>
      <w:r>
        <w:rPr>
          <w:rFonts w:eastAsia="方正仿宋简体"/>
          <w:color w:val="000000"/>
          <w:sz w:val="32"/>
          <w:szCs w:val="32"/>
        </w:rPr>
        <w:t>3</w:t>
      </w:r>
      <w:r>
        <w:rPr>
          <w:rFonts w:hint="eastAsia" w:eastAsia="方正仿宋简体" w:cs="方正仿宋简体"/>
          <w:color w:val="000000"/>
          <w:sz w:val="32"/>
          <w:szCs w:val="32"/>
        </w:rPr>
        <w:t>台，其他用车</w:t>
      </w:r>
      <w:r>
        <w:rPr>
          <w:rFonts w:eastAsia="方正仿宋简体"/>
          <w:color w:val="000000"/>
          <w:sz w:val="32"/>
          <w:szCs w:val="32"/>
        </w:rPr>
        <w:t>16</w:t>
      </w:r>
      <w:r>
        <w:rPr>
          <w:rFonts w:hint="eastAsia" w:eastAsia="方正仿宋简体" w:cs="方正仿宋简体"/>
          <w:color w:val="000000"/>
          <w:sz w:val="32"/>
          <w:szCs w:val="32"/>
        </w:rPr>
        <w:t>台；单位价值</w:t>
      </w:r>
      <w:r>
        <w:rPr>
          <w:rFonts w:eastAsia="方正仿宋简体"/>
          <w:color w:val="000000"/>
          <w:sz w:val="32"/>
          <w:szCs w:val="32"/>
        </w:rPr>
        <w:t>50</w:t>
      </w:r>
      <w:r>
        <w:rPr>
          <w:rFonts w:hint="eastAsia" w:eastAsia="方正仿宋简体" w:cs="方正仿宋简体"/>
          <w:color w:val="000000"/>
          <w:sz w:val="32"/>
          <w:szCs w:val="32"/>
        </w:rPr>
        <w:t>万元以上通用设备</w:t>
      </w:r>
      <w:r>
        <w:rPr>
          <w:rFonts w:eastAsia="方正仿宋简体"/>
          <w:color w:val="000000"/>
          <w:sz w:val="32"/>
          <w:szCs w:val="32"/>
        </w:rPr>
        <w:t>4</w:t>
      </w:r>
      <w:r>
        <w:rPr>
          <w:rFonts w:hint="eastAsia" w:eastAsia="方正仿宋简体" w:cs="方正仿宋简体"/>
          <w:color w:val="000000"/>
          <w:sz w:val="32"/>
          <w:szCs w:val="32"/>
        </w:rPr>
        <w:t>台（套），单位价值</w:t>
      </w:r>
      <w:r>
        <w:rPr>
          <w:rFonts w:eastAsia="方正仿宋简体"/>
          <w:color w:val="000000"/>
          <w:sz w:val="32"/>
          <w:szCs w:val="32"/>
        </w:rPr>
        <w:t>100</w:t>
      </w:r>
      <w:r>
        <w:rPr>
          <w:rFonts w:hint="eastAsia" w:eastAsia="方正仿宋简体" w:cs="方正仿宋简体"/>
          <w:color w:val="000000"/>
          <w:sz w:val="32"/>
          <w:szCs w:val="32"/>
        </w:rPr>
        <w:t>万元以上专用设备</w:t>
      </w:r>
      <w:r>
        <w:rPr>
          <w:rFonts w:eastAsia="方正仿宋简体"/>
          <w:color w:val="000000"/>
          <w:sz w:val="32"/>
          <w:szCs w:val="32"/>
        </w:rPr>
        <w:t>7</w:t>
      </w:r>
      <w:r>
        <w:rPr>
          <w:rFonts w:hint="eastAsia" w:eastAsia="方正仿宋简体" w:cs="方正仿宋简体"/>
          <w:color w:val="000000"/>
          <w:sz w:val="32"/>
          <w:szCs w:val="32"/>
        </w:rPr>
        <w:t>台（套）。</w:t>
      </w:r>
    </w:p>
    <w:p>
      <w:pPr>
        <w:topLinePunct/>
        <w:spacing w:line="560" w:lineRule="exact"/>
        <w:jc w:val="center"/>
        <w:rPr>
          <w:rFonts w:ascii="黑体" w:eastAsia="黑体"/>
          <w:color w:val="000000"/>
          <w:sz w:val="32"/>
          <w:szCs w:val="32"/>
        </w:rPr>
      </w:pPr>
      <w:r>
        <w:rPr>
          <w:rFonts w:eastAsia="方正仿宋简体"/>
          <w:color w:val="000000"/>
          <w:sz w:val="32"/>
          <w:szCs w:val="32"/>
        </w:rPr>
        <w:br w:type="page"/>
      </w:r>
      <w:r>
        <w:rPr>
          <w:rFonts w:hint="eastAsia" w:ascii="黑体" w:eastAsia="黑体" w:cs="黑体"/>
          <w:color w:val="000000"/>
          <w:sz w:val="32"/>
          <w:szCs w:val="32"/>
        </w:rPr>
        <w:t>第四部分</w:t>
      </w:r>
      <w:r>
        <w:rPr>
          <w:rFonts w:ascii="黑体" w:eastAsia="黑体" w:cs="黑体"/>
          <w:color w:val="000000"/>
          <w:sz w:val="32"/>
          <w:szCs w:val="32"/>
        </w:rPr>
        <w:t xml:space="preserve"> </w:t>
      </w:r>
      <w:r>
        <w:rPr>
          <w:rFonts w:hint="eastAsia" w:ascii="黑体" w:eastAsia="黑体" w:cs="黑体"/>
          <w:color w:val="000000"/>
          <w:sz w:val="32"/>
          <w:szCs w:val="32"/>
        </w:rPr>
        <w:t>名词解释</w:t>
      </w:r>
    </w:p>
    <w:p>
      <w:pPr>
        <w:topLinePunct/>
        <w:spacing w:line="560" w:lineRule="exact"/>
        <w:ind w:firstLine="640" w:firstLineChars="200"/>
        <w:rPr>
          <w:rFonts w:eastAsia="方正仿宋简体"/>
          <w:color w:val="000000"/>
          <w:sz w:val="32"/>
          <w:szCs w:val="32"/>
        </w:rPr>
      </w:pPr>
    </w:p>
    <w:p>
      <w:pPr>
        <w:topLinePunct/>
        <w:spacing w:line="560" w:lineRule="exact"/>
        <w:ind w:firstLine="640" w:firstLineChars="200"/>
        <w:rPr>
          <w:rFonts w:eastAsia="方正仿宋简体"/>
          <w:color w:val="000000"/>
          <w:sz w:val="32"/>
          <w:szCs w:val="32"/>
        </w:rPr>
      </w:pPr>
      <w:r>
        <w:rPr>
          <w:rFonts w:hint="eastAsia" w:eastAsia="方正仿宋简体" w:cs="方正仿宋简体"/>
          <w:color w:val="000000"/>
          <w:sz w:val="32"/>
          <w:szCs w:val="32"/>
        </w:rPr>
        <w:t>一、财政拨款收入：指中央和省级财政当年拨付的资金。</w:t>
      </w:r>
    </w:p>
    <w:p>
      <w:pPr>
        <w:topLinePunct/>
        <w:spacing w:line="560" w:lineRule="exact"/>
        <w:ind w:firstLine="640" w:firstLineChars="200"/>
        <w:rPr>
          <w:rFonts w:eastAsia="方正仿宋简体"/>
          <w:color w:val="000000"/>
          <w:sz w:val="32"/>
          <w:szCs w:val="32"/>
        </w:rPr>
      </w:pPr>
      <w:r>
        <w:rPr>
          <w:rFonts w:hint="eastAsia" w:eastAsia="方正仿宋简体" w:cs="方正仿宋简体"/>
          <w:color w:val="000000"/>
          <w:sz w:val="32"/>
          <w:szCs w:val="32"/>
        </w:rPr>
        <w:t>二、事业收入：指事业单位开展专业业务活动及辅助活动所取得的收入。</w:t>
      </w:r>
    </w:p>
    <w:p>
      <w:pPr>
        <w:topLinePunct/>
        <w:spacing w:line="560" w:lineRule="exact"/>
        <w:ind w:firstLine="640" w:firstLineChars="200"/>
        <w:rPr>
          <w:rFonts w:eastAsia="方正仿宋简体"/>
          <w:color w:val="000000"/>
          <w:sz w:val="32"/>
          <w:szCs w:val="32"/>
        </w:rPr>
      </w:pPr>
      <w:r>
        <w:rPr>
          <w:rFonts w:hint="eastAsia" w:eastAsia="方正仿宋简体" w:cs="方正仿宋简体"/>
          <w:color w:val="000000"/>
          <w:sz w:val="32"/>
          <w:szCs w:val="32"/>
        </w:rPr>
        <w:t>三、经营收入：指事业单位在专业业务活动及其辅助活动之外开展非独立核算经营活动取得的收入。</w:t>
      </w:r>
    </w:p>
    <w:p>
      <w:pPr>
        <w:topLinePunct/>
        <w:spacing w:line="560" w:lineRule="exact"/>
        <w:ind w:firstLine="640" w:firstLineChars="200"/>
        <w:rPr>
          <w:rFonts w:eastAsia="方正仿宋简体"/>
          <w:color w:val="000000"/>
          <w:sz w:val="32"/>
          <w:szCs w:val="32"/>
        </w:rPr>
      </w:pPr>
      <w:r>
        <w:rPr>
          <w:rFonts w:hint="eastAsia" w:eastAsia="方正仿宋简体" w:cs="方正仿宋简体"/>
          <w:color w:val="000000"/>
          <w:sz w:val="32"/>
          <w:szCs w:val="32"/>
        </w:rPr>
        <w:t>四、其他收入：指除上述</w:t>
      </w:r>
      <w:r>
        <w:rPr>
          <w:rFonts w:eastAsia="方正仿宋简体"/>
          <w:color w:val="000000"/>
          <w:sz w:val="32"/>
          <w:szCs w:val="32"/>
        </w:rPr>
        <w:t>“</w:t>
      </w:r>
      <w:r>
        <w:rPr>
          <w:rFonts w:hint="eastAsia" w:eastAsia="方正仿宋简体" w:cs="方正仿宋简体"/>
          <w:color w:val="000000"/>
          <w:sz w:val="32"/>
          <w:szCs w:val="32"/>
        </w:rPr>
        <w:t>财政拨款收入</w:t>
      </w:r>
      <w:r>
        <w:rPr>
          <w:rFonts w:eastAsia="方正仿宋简体"/>
          <w:color w:val="000000"/>
          <w:sz w:val="32"/>
          <w:szCs w:val="32"/>
        </w:rPr>
        <w:t>”</w:t>
      </w:r>
      <w:r>
        <w:rPr>
          <w:rFonts w:hint="eastAsia" w:eastAsia="方正仿宋简体" w:cs="方正仿宋简体"/>
          <w:color w:val="000000"/>
          <w:sz w:val="32"/>
          <w:szCs w:val="32"/>
        </w:rPr>
        <w:t>、</w:t>
      </w:r>
      <w:r>
        <w:rPr>
          <w:rFonts w:eastAsia="方正仿宋简体"/>
          <w:color w:val="000000"/>
          <w:sz w:val="32"/>
          <w:szCs w:val="32"/>
        </w:rPr>
        <w:t>“</w:t>
      </w:r>
      <w:r>
        <w:rPr>
          <w:rFonts w:hint="eastAsia" w:eastAsia="方正仿宋简体" w:cs="方正仿宋简体"/>
          <w:color w:val="000000"/>
          <w:sz w:val="32"/>
          <w:szCs w:val="32"/>
        </w:rPr>
        <w:t>事业收入</w:t>
      </w:r>
      <w:r>
        <w:rPr>
          <w:rFonts w:eastAsia="方正仿宋简体"/>
          <w:color w:val="000000"/>
          <w:sz w:val="32"/>
          <w:szCs w:val="32"/>
        </w:rPr>
        <w:t>”</w:t>
      </w:r>
      <w:r>
        <w:rPr>
          <w:rFonts w:hint="eastAsia" w:eastAsia="方正仿宋简体" w:cs="方正仿宋简体"/>
          <w:color w:val="000000"/>
          <w:sz w:val="32"/>
          <w:szCs w:val="32"/>
        </w:rPr>
        <w:t>、</w:t>
      </w:r>
      <w:r>
        <w:rPr>
          <w:rFonts w:eastAsia="方正仿宋简体"/>
          <w:color w:val="000000"/>
          <w:sz w:val="32"/>
          <w:szCs w:val="32"/>
        </w:rPr>
        <w:t>“</w:t>
      </w:r>
      <w:r>
        <w:rPr>
          <w:rFonts w:hint="eastAsia" w:eastAsia="方正仿宋简体" w:cs="方正仿宋简体"/>
          <w:color w:val="000000"/>
          <w:sz w:val="32"/>
          <w:szCs w:val="32"/>
        </w:rPr>
        <w:t>经营收入</w:t>
      </w:r>
      <w:r>
        <w:rPr>
          <w:rFonts w:eastAsia="方正仿宋简体"/>
          <w:color w:val="000000"/>
          <w:sz w:val="32"/>
          <w:szCs w:val="32"/>
        </w:rPr>
        <w:t>”</w:t>
      </w:r>
      <w:r>
        <w:rPr>
          <w:rFonts w:hint="eastAsia" w:eastAsia="方正仿宋简体" w:cs="方正仿宋简体"/>
          <w:color w:val="000000"/>
          <w:sz w:val="32"/>
          <w:szCs w:val="32"/>
        </w:rPr>
        <w:t>等以外的收入。</w:t>
      </w:r>
    </w:p>
    <w:p>
      <w:pPr>
        <w:topLinePunct/>
        <w:spacing w:line="560" w:lineRule="exact"/>
        <w:ind w:firstLine="640" w:firstLineChars="200"/>
        <w:rPr>
          <w:rFonts w:eastAsia="方正仿宋简体"/>
          <w:color w:val="000000"/>
          <w:sz w:val="32"/>
          <w:szCs w:val="32"/>
        </w:rPr>
      </w:pPr>
      <w:r>
        <w:rPr>
          <w:rFonts w:hint="eastAsia" w:eastAsia="方正仿宋简体" w:cs="方正仿宋简体"/>
          <w:color w:val="000000"/>
          <w:sz w:val="32"/>
          <w:szCs w:val="32"/>
        </w:rPr>
        <w:t>五、年初结转和结余：指以前年度尚未完成、结转到本年按有关规定继续使用的资金。</w:t>
      </w:r>
    </w:p>
    <w:p>
      <w:pPr>
        <w:topLinePunct/>
        <w:spacing w:line="560" w:lineRule="exact"/>
        <w:ind w:firstLine="640" w:firstLineChars="200"/>
        <w:rPr>
          <w:rFonts w:eastAsia="方正仿宋简体"/>
          <w:sz w:val="32"/>
          <w:szCs w:val="32"/>
        </w:rPr>
      </w:pPr>
      <w:r>
        <w:rPr>
          <w:rFonts w:hint="eastAsia" w:eastAsia="方正仿宋简体" w:cs="方正仿宋简体"/>
          <w:color w:val="000000"/>
          <w:sz w:val="32"/>
          <w:szCs w:val="32"/>
        </w:rPr>
        <w:t>六、基本支出：</w:t>
      </w:r>
      <w:r>
        <w:rPr>
          <w:rFonts w:hint="eastAsia" w:eastAsia="方正仿宋简体" w:cs="方正仿宋简体"/>
          <w:sz w:val="32"/>
          <w:szCs w:val="32"/>
        </w:rPr>
        <w:t>指为保障单位机构正常运转、完成日常工作任务而发生的各项支出。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七、项目支出：指单位为完成特定行政工作任务或事业发展目标而发生的支出，包括有关事业发展专项、专项业务费等。</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八、因公出国（境）费：指单位公务出国（境）的住宿费、旅费、伙食补助费、杂费、培训费等支出。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九、公务用车购置费：指单位公务车辆购置支出，包括车辆购置税支出。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十、公务用车运行维护费：指单位公务用车租用费、燃料费、维修费、过路过桥费、保险费、安全奖励费用等支出。</w:t>
      </w:r>
    </w:p>
    <w:p>
      <w:pPr>
        <w:topLinePunct/>
        <w:spacing w:line="560" w:lineRule="exact"/>
        <w:ind w:firstLine="640" w:firstLineChars="200"/>
        <w:rPr>
          <w:rFonts w:eastAsia="方正仿宋简体"/>
          <w:sz w:val="32"/>
          <w:szCs w:val="32"/>
        </w:rPr>
      </w:pPr>
      <w:r>
        <w:rPr>
          <w:rFonts w:hint="eastAsia" w:eastAsia="方正仿宋简体" w:cs="方正仿宋简体"/>
          <w:sz w:val="32"/>
          <w:szCs w:val="32"/>
        </w:rPr>
        <w:t>十一、公务接待费：指单位按规定开支的各类公务接待（含</w:t>
      </w:r>
      <w:r>
        <w:rPr>
          <w:rFonts w:eastAsia="方正仿宋简体"/>
          <w:sz w:val="32"/>
          <w:szCs w:val="32"/>
        </w:rPr>
        <w:t xml:space="preserve"> </w:t>
      </w:r>
      <w:r>
        <w:rPr>
          <w:rFonts w:hint="eastAsia" w:eastAsia="方正仿宋简体" w:cs="方正仿宋简体"/>
          <w:sz w:val="32"/>
          <w:szCs w:val="32"/>
        </w:rPr>
        <w:t>外宾接待）费用。</w:t>
      </w:r>
    </w:p>
    <w:p>
      <w:pPr>
        <w:topLinePunct/>
        <w:spacing w:line="560" w:lineRule="exact"/>
        <w:ind w:firstLine="640" w:firstLineChars="200"/>
      </w:pPr>
      <w:r>
        <w:rPr>
          <w:rFonts w:hint="eastAsia" w:eastAsia="方正仿宋简体" w:cs="方正仿宋简体"/>
          <w:color w:val="000000"/>
          <w:sz w:val="32"/>
          <w:szCs w:val="32"/>
        </w:rPr>
        <w:t>十二、年末结转和结余：指本年度或以前年度预算安排、因客观条件发生变化无法按原计划实施，需延迟到以后年度按有关规定继续使用的资金。</w:t>
      </w:r>
    </w:p>
    <w:sectPr>
      <w:pgSz w:w="11906" w:h="16838"/>
      <w:pgMar w:top="2155" w:right="1474" w:bottom="1361" w:left="1588" w:header="0"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6</w:t>
    </w:r>
    <w:r>
      <w:rPr>
        <w:rStyle w:val="6"/>
        <w:sz w:val="28"/>
        <w:szCs w:val="28"/>
      </w:rPr>
      <w:fldChar w:fldCharType="end"/>
    </w:r>
    <w:r>
      <w:rPr>
        <w:rStyle w:val="6"/>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302B1"/>
    <w:multiLevelType w:val="singleLevel"/>
    <w:tmpl w:val="A95302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BD"/>
    <w:rsid w:val="0000399A"/>
    <w:rsid w:val="00006B43"/>
    <w:rsid w:val="00007F9F"/>
    <w:rsid w:val="00011787"/>
    <w:rsid w:val="00050F6B"/>
    <w:rsid w:val="0005270F"/>
    <w:rsid w:val="00076BD4"/>
    <w:rsid w:val="00095FA3"/>
    <w:rsid w:val="000A7C17"/>
    <w:rsid w:val="000C2C35"/>
    <w:rsid w:val="000D4EF1"/>
    <w:rsid w:val="000E6F08"/>
    <w:rsid w:val="000F73B2"/>
    <w:rsid w:val="000F7767"/>
    <w:rsid w:val="0010096A"/>
    <w:rsid w:val="00106BAC"/>
    <w:rsid w:val="001243AB"/>
    <w:rsid w:val="00130A31"/>
    <w:rsid w:val="00147A39"/>
    <w:rsid w:val="00165610"/>
    <w:rsid w:val="00192900"/>
    <w:rsid w:val="001A5F0B"/>
    <w:rsid w:val="001B53E6"/>
    <w:rsid w:val="001F00EC"/>
    <w:rsid w:val="002154EF"/>
    <w:rsid w:val="00217A9A"/>
    <w:rsid w:val="00223FA0"/>
    <w:rsid w:val="00227ED9"/>
    <w:rsid w:val="00236CE6"/>
    <w:rsid w:val="00243EE6"/>
    <w:rsid w:val="00265A59"/>
    <w:rsid w:val="00290317"/>
    <w:rsid w:val="00294A2E"/>
    <w:rsid w:val="002A1005"/>
    <w:rsid w:val="002E3EC9"/>
    <w:rsid w:val="002F5BF1"/>
    <w:rsid w:val="0031003B"/>
    <w:rsid w:val="003143D2"/>
    <w:rsid w:val="003160C0"/>
    <w:rsid w:val="00357DED"/>
    <w:rsid w:val="0036604B"/>
    <w:rsid w:val="00383310"/>
    <w:rsid w:val="00393C41"/>
    <w:rsid w:val="0039561E"/>
    <w:rsid w:val="003C2369"/>
    <w:rsid w:val="003D3749"/>
    <w:rsid w:val="003E3E47"/>
    <w:rsid w:val="003E4AFF"/>
    <w:rsid w:val="00411B67"/>
    <w:rsid w:val="0042462A"/>
    <w:rsid w:val="004629F1"/>
    <w:rsid w:val="00480CDF"/>
    <w:rsid w:val="004849F8"/>
    <w:rsid w:val="004A59E9"/>
    <w:rsid w:val="004B019D"/>
    <w:rsid w:val="004B55A9"/>
    <w:rsid w:val="004D0BC1"/>
    <w:rsid w:val="004E2812"/>
    <w:rsid w:val="00513723"/>
    <w:rsid w:val="005400F9"/>
    <w:rsid w:val="0054782F"/>
    <w:rsid w:val="005829FB"/>
    <w:rsid w:val="00593203"/>
    <w:rsid w:val="00601714"/>
    <w:rsid w:val="00614ACB"/>
    <w:rsid w:val="00621742"/>
    <w:rsid w:val="006239B0"/>
    <w:rsid w:val="00625EFE"/>
    <w:rsid w:val="006274BB"/>
    <w:rsid w:val="00645199"/>
    <w:rsid w:val="00647D03"/>
    <w:rsid w:val="00671370"/>
    <w:rsid w:val="00674EFE"/>
    <w:rsid w:val="00682DA9"/>
    <w:rsid w:val="006C7A76"/>
    <w:rsid w:val="007129ED"/>
    <w:rsid w:val="00713B2F"/>
    <w:rsid w:val="00725CD9"/>
    <w:rsid w:val="00740363"/>
    <w:rsid w:val="00745341"/>
    <w:rsid w:val="00746CAD"/>
    <w:rsid w:val="00750D0C"/>
    <w:rsid w:val="007626D2"/>
    <w:rsid w:val="00772EA7"/>
    <w:rsid w:val="007911F5"/>
    <w:rsid w:val="007932FD"/>
    <w:rsid w:val="00796D1D"/>
    <w:rsid w:val="007B68CB"/>
    <w:rsid w:val="007B7C9E"/>
    <w:rsid w:val="00813E55"/>
    <w:rsid w:val="00816423"/>
    <w:rsid w:val="00820044"/>
    <w:rsid w:val="00836019"/>
    <w:rsid w:val="008424FF"/>
    <w:rsid w:val="00861025"/>
    <w:rsid w:val="008868A3"/>
    <w:rsid w:val="008870E1"/>
    <w:rsid w:val="00892268"/>
    <w:rsid w:val="008A0735"/>
    <w:rsid w:val="008E0383"/>
    <w:rsid w:val="008F1E8D"/>
    <w:rsid w:val="008F3C75"/>
    <w:rsid w:val="009005AD"/>
    <w:rsid w:val="00913D7A"/>
    <w:rsid w:val="00915385"/>
    <w:rsid w:val="00920361"/>
    <w:rsid w:val="009458B3"/>
    <w:rsid w:val="00966CEE"/>
    <w:rsid w:val="0097080C"/>
    <w:rsid w:val="00972083"/>
    <w:rsid w:val="0098688A"/>
    <w:rsid w:val="009A0EC3"/>
    <w:rsid w:val="009A7C9E"/>
    <w:rsid w:val="009C4054"/>
    <w:rsid w:val="009E0FBD"/>
    <w:rsid w:val="009F3ABC"/>
    <w:rsid w:val="00A2185F"/>
    <w:rsid w:val="00A234D1"/>
    <w:rsid w:val="00A23B5B"/>
    <w:rsid w:val="00A23F43"/>
    <w:rsid w:val="00A27E18"/>
    <w:rsid w:val="00A452F1"/>
    <w:rsid w:val="00A51949"/>
    <w:rsid w:val="00A8356C"/>
    <w:rsid w:val="00A95F2C"/>
    <w:rsid w:val="00AA44F6"/>
    <w:rsid w:val="00B03F3E"/>
    <w:rsid w:val="00B07981"/>
    <w:rsid w:val="00B272E3"/>
    <w:rsid w:val="00B71AF1"/>
    <w:rsid w:val="00B73CBC"/>
    <w:rsid w:val="00B803C7"/>
    <w:rsid w:val="00B90881"/>
    <w:rsid w:val="00B92C3F"/>
    <w:rsid w:val="00B935C0"/>
    <w:rsid w:val="00BA54DD"/>
    <w:rsid w:val="00BB3A7D"/>
    <w:rsid w:val="00BB5D7A"/>
    <w:rsid w:val="00BC6A00"/>
    <w:rsid w:val="00BD4AE3"/>
    <w:rsid w:val="00BE1764"/>
    <w:rsid w:val="00C0147A"/>
    <w:rsid w:val="00C03FD1"/>
    <w:rsid w:val="00C10480"/>
    <w:rsid w:val="00C30685"/>
    <w:rsid w:val="00C44D14"/>
    <w:rsid w:val="00C52851"/>
    <w:rsid w:val="00C56225"/>
    <w:rsid w:val="00C71718"/>
    <w:rsid w:val="00C75846"/>
    <w:rsid w:val="00C75A92"/>
    <w:rsid w:val="00C81991"/>
    <w:rsid w:val="00CE3B7B"/>
    <w:rsid w:val="00D1279A"/>
    <w:rsid w:val="00D64B30"/>
    <w:rsid w:val="00D85100"/>
    <w:rsid w:val="00D968A9"/>
    <w:rsid w:val="00DB2014"/>
    <w:rsid w:val="00DB5257"/>
    <w:rsid w:val="00DB64D3"/>
    <w:rsid w:val="00DF44B8"/>
    <w:rsid w:val="00E01208"/>
    <w:rsid w:val="00E07718"/>
    <w:rsid w:val="00E1726E"/>
    <w:rsid w:val="00E227E0"/>
    <w:rsid w:val="00E23F1E"/>
    <w:rsid w:val="00E253F0"/>
    <w:rsid w:val="00E3679F"/>
    <w:rsid w:val="00E50263"/>
    <w:rsid w:val="00E612A3"/>
    <w:rsid w:val="00E6785A"/>
    <w:rsid w:val="00EC1519"/>
    <w:rsid w:val="00EC291D"/>
    <w:rsid w:val="00EC7C63"/>
    <w:rsid w:val="00EE5998"/>
    <w:rsid w:val="00EF1291"/>
    <w:rsid w:val="00F02E43"/>
    <w:rsid w:val="00F25548"/>
    <w:rsid w:val="00F26F45"/>
    <w:rsid w:val="00F31D59"/>
    <w:rsid w:val="00F439F0"/>
    <w:rsid w:val="00F57094"/>
    <w:rsid w:val="00F60E18"/>
    <w:rsid w:val="00F63605"/>
    <w:rsid w:val="00F67D6E"/>
    <w:rsid w:val="00F729FA"/>
    <w:rsid w:val="00F82983"/>
    <w:rsid w:val="00F9144C"/>
    <w:rsid w:val="00FE5900"/>
    <w:rsid w:val="01587F83"/>
    <w:rsid w:val="02017547"/>
    <w:rsid w:val="09742327"/>
    <w:rsid w:val="167436E1"/>
    <w:rsid w:val="194C3F2D"/>
    <w:rsid w:val="215E1C9B"/>
    <w:rsid w:val="3DB1406A"/>
    <w:rsid w:val="5CD13679"/>
    <w:rsid w:val="5DCE4BE5"/>
    <w:rsid w:val="602841BA"/>
    <w:rsid w:val="693A74AB"/>
    <w:rsid w:val="6EBD19BC"/>
    <w:rsid w:val="6FA67436"/>
    <w:rsid w:val="75B523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Footer Char"/>
    <w:basedOn w:val="5"/>
    <w:link w:val="2"/>
    <w:qFormat/>
    <w:locked/>
    <w:uiPriority w:val="99"/>
    <w:rPr>
      <w:rFonts w:ascii="Times New Roman" w:hAnsi="Times New Roman" w:eastAsia="宋体" w:cs="Times New Roman"/>
      <w:sz w:val="18"/>
      <w:szCs w:val="18"/>
    </w:rPr>
  </w:style>
  <w:style w:type="character" w:customStyle="1" w:styleId="8">
    <w:name w:val="Header Char"/>
    <w:basedOn w:val="5"/>
    <w:link w:val="3"/>
    <w:qFormat/>
    <w:locked/>
    <w:uiPriority w:val="99"/>
    <w:rPr>
      <w:rFonts w:ascii="Times New Roman" w:hAnsi="Times New Roman" w:eastAsia="宋体" w:cs="Times New Roman"/>
      <w:sz w:val="18"/>
      <w:szCs w:val="18"/>
    </w:rPr>
  </w:style>
  <w:style w:type="paragraph" w:customStyle="1" w:styleId="9">
    <w:name w:val="Char"/>
    <w:basedOn w:val="1"/>
    <w:qFormat/>
    <w:uiPriority w:val="99"/>
    <w:pPr>
      <w:widowControl/>
      <w:spacing w:after="160" w:line="240" w:lineRule="exact"/>
      <w:jc w:val="left"/>
    </w:pPr>
    <w:rPr>
      <w:rFonts w:ascii="Tahoma" w:hAnsi="Tahoma" w:cs="Tahom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38</Pages>
  <Words>3273</Words>
  <Characters>18662</Characters>
  <Lines>0</Lines>
  <Paragraphs>0</Paragraphs>
  <TotalTime>261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2017-08-21T10:30:00Z</dcterms:created>
  <dc:creator>admin</dc:creator>
  <cp:lastModifiedBy>高兰祥</cp:lastModifiedBy>
  <cp:lastPrinted>2019-09-04T01:18:00Z</cp:lastPrinted>
  <dcterms:modified xsi:type="dcterms:W3CDTF">2021-06-28T02:50:38Z</dcterms:modified>
  <dc:title>湖南省民政厅2015年部门决算公开</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15E951471B5B4BFCA71F7BA97FA3AFA2</vt:lpwstr>
  </property>
</Properties>
</file>