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宋体"/>
          <w:b/>
          <w:bCs/>
          <w:sz w:val="44"/>
          <w:szCs w:val="44"/>
        </w:rPr>
      </w:pPr>
    </w:p>
    <w:p>
      <w:pPr>
        <w:spacing w:line="560" w:lineRule="exact"/>
        <w:jc w:val="center"/>
        <w:rPr>
          <w:rFonts w:eastAsia="宋体"/>
          <w:b/>
          <w:bCs/>
          <w:sz w:val="44"/>
          <w:szCs w:val="44"/>
        </w:rPr>
      </w:pPr>
    </w:p>
    <w:p>
      <w:pPr>
        <w:spacing w:line="560" w:lineRule="exact"/>
        <w:ind w:firstLine="436" w:firstLineChars="100"/>
        <w:jc w:val="both"/>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年度民政公共服务设施建设专项资金</w:t>
      </w:r>
    </w:p>
    <w:p>
      <w:pPr>
        <w:spacing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绩效评价报告</w:t>
      </w:r>
    </w:p>
    <w:p>
      <w:pPr>
        <w:pStyle w:val="2"/>
        <w:spacing w:line="579" w:lineRule="exact"/>
        <w:jc w:val="both"/>
      </w:pPr>
      <w:bookmarkStart w:id="2" w:name="_GoBack"/>
      <w:bookmarkEnd w:id="2"/>
    </w:p>
    <w:p>
      <w:pPr>
        <w:pStyle w:val="2"/>
        <w:spacing w:line="579" w:lineRule="exact"/>
        <w:ind w:firstLine="632" w:firstLineChars="200"/>
        <w:jc w:val="both"/>
        <w:rPr>
          <w:rFonts w:ascii="仿宋_GB2312"/>
        </w:rPr>
      </w:pPr>
      <w:r>
        <w:rPr>
          <w:rFonts w:hint="eastAsia" w:cs="仿宋_GB2312"/>
        </w:rPr>
        <w:t>根据《湖南省财政厅关于开展</w:t>
      </w:r>
      <w:r>
        <w:t>2019</w:t>
      </w:r>
      <w:r>
        <w:rPr>
          <w:rFonts w:hint="eastAsia" w:cs="仿宋_GB2312"/>
        </w:rPr>
        <w:t>年度省级专项资金绩效评价的通知》（湘财绩〔</w:t>
      </w:r>
      <w:r>
        <w:t>2020</w:t>
      </w:r>
      <w:r>
        <w:rPr>
          <w:rFonts w:hint="eastAsia" w:cs="仿宋_GB2312"/>
        </w:rPr>
        <w:t>〕</w:t>
      </w:r>
      <w:r>
        <w:t>3</w:t>
      </w:r>
      <w:r>
        <w:rPr>
          <w:rFonts w:hint="eastAsia" w:cs="仿宋_GB2312"/>
        </w:rPr>
        <w:t>号）要求，湖南省民政厅成立绩效评价工作领导小组，专门下发文件，于</w:t>
      </w:r>
      <w:r>
        <w:t>2020</w:t>
      </w:r>
      <w:r>
        <w:rPr>
          <w:rFonts w:hint="eastAsia" w:cs="仿宋_GB2312"/>
        </w:rPr>
        <w:t>年</w:t>
      </w:r>
      <w:r>
        <w:t>4</w:t>
      </w:r>
      <w:r>
        <w:rPr>
          <w:rFonts w:hint="eastAsia" w:cs="仿宋_GB2312"/>
        </w:rPr>
        <w:t>月</w:t>
      </w:r>
      <w:r>
        <w:t>18</w:t>
      </w:r>
      <w:r>
        <w:rPr>
          <w:rFonts w:hint="eastAsia" w:cs="仿宋_GB2312"/>
        </w:rPr>
        <w:t>日至</w:t>
      </w:r>
      <w:r>
        <w:t>2020</w:t>
      </w:r>
      <w:r>
        <w:rPr>
          <w:rFonts w:hint="eastAsia" w:cs="仿宋_GB2312"/>
        </w:rPr>
        <w:t>年</w:t>
      </w:r>
      <w:r>
        <w:t>6</w:t>
      </w:r>
      <w:r>
        <w:rPr>
          <w:rFonts w:hint="eastAsia" w:cs="仿宋_GB2312"/>
        </w:rPr>
        <w:t>月</w:t>
      </w:r>
      <w:r>
        <w:t>10</w:t>
      </w:r>
      <w:r>
        <w:rPr>
          <w:rFonts w:hint="eastAsia" w:cs="仿宋_GB2312"/>
        </w:rPr>
        <w:t>日组织开展</w:t>
      </w:r>
      <w:r>
        <w:t>2019</w:t>
      </w:r>
      <w:r>
        <w:rPr>
          <w:rFonts w:hint="eastAsia" w:cs="仿宋_GB2312"/>
        </w:rPr>
        <w:t>年度民政公共服务设施建设专项资金绩效评价，现将绩效评价情况及评价结果报告如下：</w:t>
      </w:r>
    </w:p>
    <w:p>
      <w:pPr>
        <w:spacing w:line="579" w:lineRule="exact"/>
        <w:ind w:firstLine="632" w:firstLineChars="200"/>
        <w:rPr>
          <w:rFonts w:ascii="黑体" w:hAnsi="黑体" w:eastAsia="黑体"/>
        </w:rPr>
      </w:pPr>
      <w:r>
        <w:rPr>
          <w:rFonts w:hint="eastAsia" w:ascii="黑体" w:hAnsi="黑体" w:eastAsia="黑体" w:cs="黑体"/>
        </w:rPr>
        <w:t>一、基本情况</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（一）项目背景</w:t>
      </w:r>
    </w:p>
    <w:p>
      <w:pPr>
        <w:spacing w:line="579" w:lineRule="exact"/>
        <w:ind w:firstLine="632" w:firstLineChars="200"/>
      </w:pPr>
      <w:r>
        <w:t>2013</w:t>
      </w:r>
      <w:r>
        <w:rPr>
          <w:rFonts w:hint="eastAsia" w:cs="仿宋_GB2312"/>
        </w:rPr>
        <w:t>年中共中央办公厅国务院办公厅印发《关于党员干部带头推动殡葬改革的意见》（中办发〔</w:t>
      </w:r>
      <w:r>
        <w:t>2013</w:t>
      </w:r>
      <w:r>
        <w:rPr>
          <w:rFonts w:hint="eastAsia" w:cs="仿宋_GB2312"/>
        </w:rPr>
        <w:t>〕</w:t>
      </w:r>
      <w:r>
        <w:t>23</w:t>
      </w:r>
      <w:r>
        <w:rPr>
          <w:rFonts w:hint="eastAsia" w:cs="仿宋_GB2312"/>
        </w:rPr>
        <w:t>号）提出“要统筹确定殡葬基础设施数量、布局、规模和功能；加大投入，重点完善殡仪馆、骨灰堂、公益性公墓等基本殡葬公共服务设施；逐步形成布局合理、设施完善、功能齐全、服务便捷的基本殡葬公共服务网络，为推动殡葬改革创造有利条件”。</w:t>
      </w:r>
      <w:r>
        <w:t>2018</w:t>
      </w:r>
      <w:r>
        <w:rPr>
          <w:rFonts w:hint="eastAsia" w:cs="仿宋_GB2312"/>
        </w:rPr>
        <w:t>年</w:t>
      </w:r>
      <w:r>
        <w:rPr>
          <w:rFonts w:hint="eastAsia" w:cs="仿宋_GB2312"/>
          <w:color w:val="191919"/>
        </w:rPr>
        <w:t>湖南省民政厅、教育厅等</w:t>
      </w:r>
      <w:r>
        <w:rPr>
          <w:color w:val="191919"/>
        </w:rPr>
        <w:t>8</w:t>
      </w:r>
      <w:r>
        <w:rPr>
          <w:rFonts w:hint="eastAsia" w:cs="仿宋_GB2312"/>
          <w:color w:val="191919"/>
        </w:rPr>
        <w:t>部门《关于在脱贫攻坚三年行动中切实做好社会救助兜底保障工作的实施方案》提出</w:t>
      </w:r>
      <w:r>
        <w:rPr>
          <w:color w:val="191919"/>
        </w:rPr>
        <w:t>“</w:t>
      </w:r>
      <w:r>
        <w:rPr>
          <w:rFonts w:hint="eastAsia" w:cs="仿宋_GB2312"/>
          <w:color w:val="191919"/>
        </w:rPr>
        <w:t>实施区域性（中心）敬老院建设和敬老院照料护理区改造三年规划</w:t>
      </w:r>
      <w:r>
        <w:rPr>
          <w:color w:val="191919"/>
        </w:rPr>
        <w:t>”</w:t>
      </w:r>
      <w:r>
        <w:rPr>
          <w:rFonts w:hint="eastAsia" w:cs="仿宋_GB2312"/>
          <w:color w:val="191919"/>
        </w:rPr>
        <w:t>。《湖南省特困人员供养服务机构提质升级三年行动计划（</w:t>
      </w:r>
      <w:r>
        <w:rPr>
          <w:color w:val="191919"/>
        </w:rPr>
        <w:t>2020-2022</w:t>
      </w:r>
      <w:r>
        <w:rPr>
          <w:rFonts w:hint="eastAsia" w:cs="仿宋_GB2312"/>
          <w:color w:val="191919"/>
        </w:rPr>
        <w:t>年》）提出</w:t>
      </w:r>
      <w:r>
        <w:rPr>
          <w:color w:val="191919"/>
        </w:rPr>
        <w:t>“</w:t>
      </w:r>
      <w:r>
        <w:rPr>
          <w:rFonts w:hint="eastAsia" w:cs="仿宋_GB2312"/>
          <w:color w:val="000000"/>
        </w:rPr>
        <w:t>进一步优化资源，选择基础条件较好的敬老院提质升级”。</w:t>
      </w:r>
      <w:r>
        <w:t>2019</w:t>
      </w:r>
      <w:r>
        <w:rPr>
          <w:rFonts w:hint="eastAsia" w:cs="仿宋_GB2312"/>
        </w:rPr>
        <w:t>年《国务院办公厅关于推进养老服务发展的意见》提出“全面建成居家为基础、社区为依托、机构为补充、医养相结合的多层次养老服务体系”。根据上述文件要求，省民政厅继续实施了</w:t>
      </w:r>
      <w:r>
        <w:t>2019</w:t>
      </w:r>
      <w:r>
        <w:rPr>
          <w:rFonts w:hint="eastAsia" w:cs="仿宋_GB2312"/>
        </w:rPr>
        <w:t>年度民政公共服务设施建设专项。</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（二）主要内容及实施情况</w:t>
      </w:r>
    </w:p>
    <w:p>
      <w:pPr>
        <w:adjustRightInd w:val="0"/>
        <w:snapToGrid w:val="0"/>
        <w:spacing w:line="579" w:lineRule="exact"/>
        <w:ind w:firstLine="632" w:firstLineChars="200"/>
      </w:pPr>
      <w:r>
        <w:rPr>
          <w:rFonts w:hint="eastAsia" w:cs="仿宋_GB2312"/>
        </w:rPr>
        <w:t>民政公共服务设施建设专项资金主要用于养老服务、社区服务、儿童福利、流浪乞讨人员救助、婚登收养、殡葬服务及其他民政公共服务设施建设项目。省本级项目由省本级单位对项目进行初审、汇总后，正式行文申报；市级项目由市州民政局会同市州财政局对项目进行初审、汇总后，正式行文申报；省直管县市项目由省直管县市民政局会同财政局对项目进行初审、汇总后，正式行文申报，同时抄送市州民政局、财政局。在初审时，省本级主管单位和各市县民政、财政部门负责对所属项目申报材料的真实性、合法性进行把关。</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（三）资金投入和使用情况</w:t>
      </w:r>
    </w:p>
    <w:p>
      <w:pPr>
        <w:adjustRightInd w:val="0"/>
        <w:snapToGrid w:val="0"/>
        <w:spacing w:line="579" w:lineRule="exact"/>
        <w:ind w:firstLine="632" w:firstLineChars="200"/>
      </w:pPr>
      <w:r>
        <w:t>2019</w:t>
      </w:r>
      <w:r>
        <w:rPr>
          <w:rFonts w:hint="eastAsia" w:cs="仿宋_GB2312"/>
        </w:rPr>
        <w:t>年省财政厅共拨付民政公共服务设施建设专项资金</w:t>
      </w:r>
      <w:r>
        <w:t>5,800.00</w:t>
      </w:r>
      <w:r>
        <w:rPr>
          <w:rFonts w:hint="eastAsia" w:cs="仿宋_GB2312"/>
        </w:rPr>
        <w:t>万元，分配至</w:t>
      </w:r>
      <w:r>
        <w:t>14</w:t>
      </w:r>
      <w:r>
        <w:rPr>
          <w:rFonts w:hint="eastAsia" w:cs="仿宋_GB2312"/>
        </w:rPr>
        <w:t>个市州，</w:t>
      </w:r>
      <w:r>
        <w:t>82</w:t>
      </w:r>
      <w:r>
        <w:rPr>
          <w:rFonts w:hint="eastAsia" w:cs="仿宋_GB2312"/>
        </w:rPr>
        <w:t>个县市区，当年共使用资金</w:t>
      </w:r>
      <w:r>
        <w:t>5,686.11</w:t>
      </w:r>
      <w:r>
        <w:rPr>
          <w:rFonts w:hint="eastAsia" w:cs="仿宋_GB2312"/>
        </w:rPr>
        <w:t>万元，资金使用率为</w:t>
      </w:r>
      <w:r>
        <w:t>98.04%</w:t>
      </w:r>
      <w:r>
        <w:rPr>
          <w:rFonts w:hint="eastAsia" w:cs="仿宋_GB2312"/>
        </w:rPr>
        <w:t>，各市州资金拨付和使用情况如下表：</w:t>
      </w:r>
    </w:p>
    <w:p>
      <w:pPr>
        <w:widowControl/>
        <w:jc w:val="right"/>
        <w:textAlignment w:val="center"/>
      </w:pPr>
      <w:r>
        <w:rPr>
          <w:rFonts w:hint="eastAsia" w:cs="仿宋_GB2312"/>
        </w:rPr>
        <w:t>单位：万元</w:t>
      </w:r>
    </w:p>
    <w:tbl>
      <w:tblPr>
        <w:tblStyle w:val="6"/>
        <w:tblW w:w="5064" w:type="pct"/>
        <w:tblInd w:w="2" w:type="dxa"/>
        <w:tblLayout w:type="autofit"/>
        <w:tblCellMar>
          <w:top w:w="0" w:type="dxa"/>
          <w:left w:w="0" w:type="dxa"/>
          <w:bottom w:w="0" w:type="dxa"/>
          <w:right w:w="0" w:type="dxa"/>
        </w:tblCellMar>
      </w:tblPr>
      <w:tblGrid>
        <w:gridCol w:w="1119"/>
        <w:gridCol w:w="688"/>
        <w:gridCol w:w="854"/>
        <w:gridCol w:w="854"/>
        <w:gridCol w:w="689"/>
        <w:gridCol w:w="689"/>
        <w:gridCol w:w="856"/>
        <w:gridCol w:w="913"/>
        <w:gridCol w:w="1266"/>
        <w:gridCol w:w="1061"/>
      </w:tblGrid>
      <w:tr>
        <w:tblPrEx>
          <w:tblCellMar>
            <w:top w:w="0" w:type="dxa"/>
            <w:left w:w="0" w:type="dxa"/>
            <w:bottom w:w="0" w:type="dxa"/>
            <w:right w:w="0" w:type="dxa"/>
          </w:tblCellMar>
        </w:tblPrEx>
        <w:trPr>
          <w:trHeight w:val="393" w:hRule="atLeast"/>
        </w:trPr>
        <w:tc>
          <w:tcPr>
            <w:tcW w:w="623" w:type="pct"/>
            <w:vMerge w:val="restart"/>
            <w:tcBorders>
              <w:top w:val="single" w:color="000000" w:sz="4" w:space="0"/>
              <w:left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市县名称</w:t>
            </w:r>
          </w:p>
        </w:tc>
        <w:tc>
          <w:tcPr>
            <w:tcW w:w="2575" w:type="pct"/>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民政公共服务设施建设专项补助省级专项资金投入</w:t>
            </w:r>
          </w:p>
        </w:tc>
        <w:tc>
          <w:tcPr>
            <w:tcW w:w="508"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合计</w:t>
            </w:r>
          </w:p>
        </w:tc>
        <w:tc>
          <w:tcPr>
            <w:tcW w:w="704"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当年实际使用</w:t>
            </w:r>
          </w:p>
        </w:tc>
        <w:tc>
          <w:tcPr>
            <w:tcW w:w="590" w:type="pct"/>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资金使用率</w:t>
            </w:r>
          </w:p>
        </w:tc>
      </w:tr>
      <w:tr>
        <w:tblPrEx>
          <w:tblCellMar>
            <w:top w:w="0" w:type="dxa"/>
            <w:left w:w="0" w:type="dxa"/>
            <w:bottom w:w="0" w:type="dxa"/>
            <w:right w:w="0" w:type="dxa"/>
          </w:tblCellMar>
        </w:tblPrEx>
        <w:trPr>
          <w:trHeight w:val="448" w:hRule="atLeast"/>
        </w:trPr>
        <w:tc>
          <w:tcPr>
            <w:tcW w:w="623" w:type="pct"/>
            <w:vMerge w:val="continue"/>
            <w:tcBorders>
              <w:left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858" w:type="pct"/>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社会养老服务体系建设</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敬老院照护区改造</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民政统计和财务规范化建设</w:t>
            </w:r>
          </w:p>
        </w:tc>
        <w:tc>
          <w:tcPr>
            <w:tcW w:w="383"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边界界线管理</w:t>
            </w:r>
          </w:p>
        </w:tc>
        <w:tc>
          <w:tcPr>
            <w:tcW w:w="475" w:type="pct"/>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殡葬设施建设</w:t>
            </w:r>
          </w:p>
        </w:tc>
        <w:tc>
          <w:tcPr>
            <w:tcW w:w="508" w:type="pct"/>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704" w:type="pct"/>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590" w:type="pct"/>
            <w:vMerge w:val="continue"/>
            <w:tcBorders>
              <w:left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r>
      <w:tr>
        <w:tblPrEx>
          <w:tblCellMar>
            <w:top w:w="0" w:type="dxa"/>
            <w:left w:w="0" w:type="dxa"/>
            <w:bottom w:w="0" w:type="dxa"/>
            <w:right w:w="0" w:type="dxa"/>
          </w:tblCellMar>
        </w:tblPrEx>
        <w:trPr>
          <w:trHeight w:val="480" w:hRule="atLeast"/>
        </w:trPr>
        <w:tc>
          <w:tcPr>
            <w:tcW w:w="623" w:type="pct"/>
            <w:vMerge w:val="continue"/>
            <w:tcBorders>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38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基本养老服务补贴</w:t>
            </w:r>
          </w:p>
        </w:tc>
        <w:tc>
          <w:tcPr>
            <w:tcW w:w="47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民营养老机构运营补贴</w:t>
            </w: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383"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475" w:type="pct"/>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508"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704"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c>
          <w:tcPr>
            <w:tcW w:w="590" w:type="pct"/>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ascii="宋体" w:hAnsi="宋体" w:eastAsia="宋体"/>
                <w:color w:val="000000"/>
                <w:sz w:val="21"/>
                <w:szCs w:val="21"/>
              </w:rPr>
            </w:pP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长沙市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263.00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338.00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317.95</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94.07%</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株洲市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18.60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193.00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381.60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381.6</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湘潭市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81.3</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81.30%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衡阳市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5.50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199.00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440.00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704.50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664.5</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94.32%</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邵阳市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286.70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84.00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80.00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460.70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460.7</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岳阳市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37.30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105.00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90.00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760.00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1,002.30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999.46</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99.72%</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常德市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53.30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223.00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356.30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355</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99.64%</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张家界市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131.40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8.00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60.00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219.40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219.4</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益阳市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18.40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141.00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629.40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601.4</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95.55%</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永州市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36.60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54.00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90.00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190.60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190.6</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郴州市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58.70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83.00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401.70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401.7</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娄底市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77.10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107.00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254.10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254.1</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怀化市</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109.90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59.00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120.00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308.90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305.9</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99.03%</w:t>
            </w:r>
          </w:p>
        </w:tc>
      </w:tr>
      <w:tr>
        <w:tblPrEx>
          <w:tblCellMar>
            <w:top w:w="0" w:type="dxa"/>
            <w:left w:w="0" w:type="dxa"/>
            <w:bottom w:w="0" w:type="dxa"/>
            <w:right w:w="0" w:type="dxa"/>
          </w:tblCellMar>
        </w:tblPrEx>
        <w:trPr>
          <w:trHeight w:val="45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湘西土家族苗族自治区</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107.50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15.00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352.50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352.5</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27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省本级</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100.00%</w:t>
            </w:r>
          </w:p>
        </w:tc>
      </w:tr>
      <w:tr>
        <w:tblPrEx>
          <w:tblCellMar>
            <w:top w:w="0" w:type="dxa"/>
            <w:left w:w="0" w:type="dxa"/>
            <w:bottom w:w="0" w:type="dxa"/>
            <w:right w:w="0" w:type="dxa"/>
          </w:tblCellMar>
        </w:tblPrEx>
        <w:trPr>
          <w:trHeight w:val="300" w:hRule="atLeast"/>
        </w:trPr>
        <w:tc>
          <w:tcPr>
            <w:tcW w:w="62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olor w:val="000000"/>
                <w:kern w:val="0"/>
                <w:sz w:val="21"/>
                <w:szCs w:val="21"/>
              </w:rPr>
            </w:pPr>
            <w:r>
              <w:rPr>
                <w:rFonts w:hint="eastAsia" w:ascii="宋体" w:hAnsi="宋体" w:eastAsia="宋体" w:cs="宋体"/>
                <w:color w:val="000000"/>
                <w:kern w:val="0"/>
                <w:sz w:val="21"/>
                <w:szCs w:val="21"/>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941.00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1,519.00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1,000.00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300.00 </w:t>
            </w:r>
          </w:p>
        </w:tc>
        <w:tc>
          <w:tcPr>
            <w:tcW w:w="38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40.00 </w:t>
            </w:r>
          </w:p>
        </w:tc>
        <w:tc>
          <w:tcPr>
            <w:tcW w:w="4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2,000.00 </w:t>
            </w:r>
          </w:p>
        </w:tc>
        <w:tc>
          <w:tcPr>
            <w:tcW w:w="50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 xml:space="preserve">5,800.00 </w:t>
            </w:r>
          </w:p>
        </w:tc>
        <w:tc>
          <w:tcPr>
            <w:tcW w:w="7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5,686.11</w:t>
            </w:r>
          </w:p>
        </w:tc>
        <w:tc>
          <w:tcPr>
            <w:tcW w:w="59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360" w:lineRule="exact"/>
              <w:jc w:val="center"/>
              <w:rPr>
                <w:rFonts w:ascii="宋体" w:hAnsi="宋体" w:eastAsia="宋体" w:cs="宋体"/>
                <w:color w:val="000000"/>
                <w:kern w:val="0"/>
                <w:sz w:val="21"/>
                <w:szCs w:val="21"/>
              </w:rPr>
            </w:pPr>
            <w:r>
              <w:rPr>
                <w:rFonts w:ascii="宋体" w:hAnsi="宋体" w:eastAsia="宋体" w:cs="宋体"/>
                <w:color w:val="000000"/>
                <w:kern w:val="0"/>
                <w:sz w:val="21"/>
                <w:szCs w:val="21"/>
              </w:rPr>
              <w:t>98.04%</w:t>
            </w:r>
          </w:p>
        </w:tc>
      </w:tr>
    </w:tbl>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（四）项目绩效目标</w:t>
      </w:r>
    </w:p>
    <w:p>
      <w:pPr>
        <w:spacing w:line="579" w:lineRule="exact"/>
        <w:ind w:firstLine="632" w:firstLineChars="200"/>
        <w:rPr>
          <w:rFonts w:ascii="仿宋_GB2312"/>
          <w:b/>
          <w:bCs/>
        </w:rPr>
      </w:pPr>
      <w:r>
        <w:rPr>
          <w:rFonts w:ascii="仿宋_GB2312" w:cs="仿宋_GB2312"/>
          <w:b/>
          <w:bCs/>
        </w:rPr>
        <w:t>1</w:t>
      </w:r>
      <w:r>
        <w:rPr>
          <w:rFonts w:hint="eastAsia" w:ascii="仿宋_GB2312" w:cs="仿宋_GB2312"/>
          <w:b/>
          <w:bCs/>
        </w:rPr>
        <w:t>、总体目标</w:t>
      </w:r>
    </w:p>
    <w:p>
      <w:pPr>
        <w:spacing w:line="579" w:lineRule="exact"/>
        <w:ind w:firstLine="632" w:firstLineChars="200"/>
        <w:rPr>
          <w:rFonts w:ascii="仿宋_GB2312"/>
        </w:rPr>
      </w:pPr>
      <w:r>
        <w:rPr>
          <w:rFonts w:hint="eastAsia" w:ascii="仿宋_GB2312" w:cs="仿宋_GB2312"/>
        </w:rPr>
        <w:t>一是支持各地开展养老服务体系建设，使每千名老年人口拥有床位数≥</w:t>
      </w:r>
      <w:r>
        <w:rPr>
          <w:rFonts w:ascii="仿宋_GB2312" w:cs="仿宋_GB2312"/>
        </w:rPr>
        <w:t>35</w:t>
      </w:r>
      <w:r>
        <w:rPr>
          <w:rFonts w:hint="eastAsia" w:ascii="仿宋_GB2312" w:cs="仿宋_GB2312"/>
        </w:rPr>
        <w:t>张，护理型床位数占养老机构床位总数≥</w:t>
      </w:r>
      <w:r>
        <w:rPr>
          <w:rFonts w:ascii="仿宋_GB2312" w:cs="仿宋_GB2312"/>
        </w:rPr>
        <w:t>30%</w:t>
      </w:r>
      <w:r>
        <w:rPr>
          <w:rFonts w:hint="eastAsia" w:ascii="仿宋_GB2312" w:cs="仿宋_GB2312"/>
        </w:rPr>
        <w:t>，促进城乡养老服务协调发展，对生活不能自理的特困人员的集中供养率达到</w:t>
      </w:r>
      <w:r>
        <w:rPr>
          <w:rFonts w:ascii="仿宋_GB2312" w:cs="仿宋_GB2312"/>
        </w:rPr>
        <w:t>50%</w:t>
      </w:r>
      <w:r>
        <w:rPr>
          <w:rFonts w:hint="eastAsia" w:ascii="仿宋_GB2312" w:cs="仿宋_GB2312"/>
        </w:rPr>
        <w:t>，促进社会力量参与养老服务，民办养老机构床位总数≥</w:t>
      </w:r>
      <w:r>
        <w:rPr>
          <w:rFonts w:ascii="仿宋_GB2312" w:cs="仿宋_GB2312"/>
        </w:rPr>
        <w:t>30%</w:t>
      </w:r>
      <w:r>
        <w:rPr>
          <w:rFonts w:hint="eastAsia" w:ascii="仿宋_GB2312" w:cs="仿宋_GB2312"/>
        </w:rPr>
        <w:t>。二是加快殡葬基础设施设备更新改造，按照</w:t>
      </w:r>
      <w:r>
        <w:rPr>
          <w:rFonts w:ascii="仿宋_GB2312" w:cs="仿宋_GB2312"/>
        </w:rPr>
        <w:t>50</w:t>
      </w:r>
      <w:r>
        <w:rPr>
          <w:rFonts w:hint="eastAsia" w:ascii="仿宋_GB2312" w:cs="仿宋_GB2312"/>
        </w:rPr>
        <w:t>万人口以下补助</w:t>
      </w:r>
      <w:r>
        <w:rPr>
          <w:rFonts w:ascii="仿宋_GB2312" w:cs="仿宋_GB2312"/>
        </w:rPr>
        <w:t>600</w:t>
      </w:r>
      <w:r>
        <w:rPr>
          <w:rFonts w:hint="eastAsia" w:ascii="仿宋_GB2312" w:cs="仿宋_GB2312"/>
        </w:rPr>
        <w:t>万元，</w:t>
      </w:r>
      <w:r>
        <w:rPr>
          <w:rFonts w:ascii="仿宋_GB2312" w:cs="仿宋_GB2312"/>
        </w:rPr>
        <w:t>50</w:t>
      </w:r>
      <w:r>
        <w:rPr>
          <w:rFonts w:hint="eastAsia" w:ascii="仿宋_GB2312" w:cs="仿宋_GB2312"/>
        </w:rPr>
        <w:t>万人口以上补助</w:t>
      </w:r>
      <w:r>
        <w:rPr>
          <w:rFonts w:ascii="仿宋_GB2312" w:cs="仿宋_GB2312"/>
        </w:rPr>
        <w:t>840</w:t>
      </w:r>
      <w:r>
        <w:rPr>
          <w:rFonts w:hint="eastAsia" w:ascii="仿宋_GB2312" w:cs="仿宋_GB2312"/>
        </w:rPr>
        <w:t>万元的标准，火化炉环保改造按</w:t>
      </w:r>
      <w:r>
        <w:rPr>
          <w:rFonts w:ascii="仿宋_GB2312" w:cs="仿宋_GB2312"/>
        </w:rPr>
        <w:t>50</w:t>
      </w:r>
      <w:r>
        <w:rPr>
          <w:rFonts w:hint="eastAsia" w:ascii="仿宋_GB2312" w:cs="仿宋_GB2312"/>
        </w:rPr>
        <w:t>万人</w:t>
      </w:r>
      <w:r>
        <w:rPr>
          <w:rFonts w:ascii="仿宋_GB2312" w:cs="仿宋_GB2312"/>
        </w:rPr>
        <w:t>/</w:t>
      </w:r>
      <w:r>
        <w:rPr>
          <w:rFonts w:hint="eastAsia" w:ascii="仿宋_GB2312" w:cs="仿宋_GB2312"/>
        </w:rPr>
        <w:t>套标准，节地生态安葬率达到</w:t>
      </w:r>
      <w:r>
        <w:rPr>
          <w:rFonts w:ascii="仿宋_GB2312" w:cs="仿宋_GB2312"/>
        </w:rPr>
        <w:t>50%</w:t>
      </w:r>
      <w:r>
        <w:rPr>
          <w:rFonts w:hint="eastAsia" w:ascii="仿宋_GB2312" w:cs="仿宋_GB2312"/>
        </w:rPr>
        <w:t>。</w:t>
      </w:r>
    </w:p>
    <w:p>
      <w:pPr>
        <w:spacing w:line="579" w:lineRule="exact"/>
        <w:ind w:firstLine="632" w:firstLineChars="200"/>
        <w:rPr>
          <w:rFonts w:ascii="仿宋_GB2312"/>
          <w:b/>
          <w:bCs/>
        </w:rPr>
      </w:pPr>
      <w:r>
        <w:rPr>
          <w:rFonts w:ascii="仿宋_GB2312" w:cs="仿宋_GB2312"/>
          <w:b/>
          <w:bCs/>
        </w:rPr>
        <w:t>2</w:t>
      </w:r>
      <w:r>
        <w:rPr>
          <w:rFonts w:hint="eastAsia" w:ascii="仿宋_GB2312" w:cs="仿宋_GB2312"/>
          <w:b/>
          <w:bCs/>
        </w:rPr>
        <w:t>、年度绩效目标</w:t>
      </w:r>
    </w:p>
    <w:p>
      <w:pPr>
        <w:spacing w:line="579" w:lineRule="exact"/>
        <w:ind w:firstLine="632" w:firstLineChars="200"/>
        <w:rPr>
          <w:rFonts w:ascii="仿宋_GB2312"/>
        </w:rPr>
      </w:pPr>
      <w:r>
        <w:rPr>
          <w:rFonts w:hint="eastAsia" w:ascii="仿宋_GB2312" w:cs="仿宋_GB2312"/>
        </w:rPr>
        <w:t>（</w:t>
      </w:r>
      <w:r>
        <w:rPr>
          <w:rFonts w:ascii="仿宋_GB2312" w:cs="仿宋_GB2312"/>
        </w:rPr>
        <w:t>1</w:t>
      </w:r>
      <w:r>
        <w:rPr>
          <w:rFonts w:hint="eastAsia" w:ascii="仿宋_GB2312" w:cs="仿宋_GB2312"/>
        </w:rPr>
        <w:t>）支持各地开展养老服务体系建设，使每千名老年人口拥有床位数≥</w:t>
      </w:r>
      <w:r>
        <w:rPr>
          <w:rFonts w:ascii="仿宋_GB2312" w:cs="仿宋_GB2312"/>
        </w:rPr>
        <w:t>34</w:t>
      </w:r>
      <w:r>
        <w:rPr>
          <w:rFonts w:hint="eastAsia" w:ascii="仿宋_GB2312" w:cs="仿宋_GB2312"/>
        </w:rPr>
        <w:t>张，护理型床位数占养老机构床位总数≥</w:t>
      </w:r>
      <w:r>
        <w:rPr>
          <w:rFonts w:ascii="仿宋_GB2312" w:cs="仿宋_GB2312"/>
        </w:rPr>
        <w:t>29%</w:t>
      </w:r>
      <w:r>
        <w:rPr>
          <w:rFonts w:hint="eastAsia" w:ascii="仿宋_GB2312" w:cs="仿宋_GB2312"/>
        </w:rPr>
        <w:t>，促进城乡养老服务协调发展，对生活不能自理的特困人员的集中供养率达到</w:t>
      </w:r>
      <w:r>
        <w:rPr>
          <w:rFonts w:ascii="仿宋_GB2312" w:cs="仿宋_GB2312"/>
        </w:rPr>
        <w:t>45%</w:t>
      </w:r>
      <w:r>
        <w:rPr>
          <w:rFonts w:hint="eastAsia" w:ascii="仿宋_GB2312" w:cs="仿宋_GB2312"/>
        </w:rPr>
        <w:t>，促进社会力量参与养老服务，民办养老机构床位总数≥</w:t>
      </w:r>
      <w:r>
        <w:rPr>
          <w:rFonts w:ascii="仿宋_GB2312" w:cs="仿宋_GB2312"/>
        </w:rPr>
        <w:t>30%</w:t>
      </w:r>
      <w:r>
        <w:rPr>
          <w:rFonts w:hint="eastAsia" w:ascii="仿宋_GB2312" w:cs="仿宋_GB2312"/>
        </w:rPr>
        <w:t>。</w:t>
      </w:r>
    </w:p>
    <w:p>
      <w:pPr>
        <w:spacing w:line="579" w:lineRule="exact"/>
        <w:ind w:firstLine="632" w:firstLineChars="200"/>
        <w:rPr>
          <w:rFonts w:ascii="仿宋_GB2312"/>
        </w:rPr>
      </w:pPr>
      <w:r>
        <w:rPr>
          <w:rFonts w:hint="eastAsia" w:ascii="仿宋_GB2312" w:cs="仿宋_GB2312"/>
        </w:rPr>
        <w:t>（</w:t>
      </w:r>
      <w:r>
        <w:rPr>
          <w:rFonts w:ascii="仿宋_GB2312" w:cs="仿宋_GB2312"/>
        </w:rPr>
        <w:t>2</w:t>
      </w:r>
      <w:r>
        <w:rPr>
          <w:rFonts w:hint="eastAsia" w:ascii="仿宋_GB2312" w:cs="仿宋_GB2312"/>
        </w:rPr>
        <w:t>）新建和更新改造</w:t>
      </w:r>
      <w:r>
        <w:rPr>
          <w:rFonts w:ascii="仿宋_GB2312" w:cs="仿宋_GB2312"/>
        </w:rPr>
        <w:t>5</w:t>
      </w:r>
      <w:r>
        <w:rPr>
          <w:rFonts w:hint="eastAsia" w:ascii="仿宋_GB2312" w:cs="仿宋_GB2312"/>
        </w:rPr>
        <w:t>个殡仪馆，新建县级公益性骨灰存放设施</w:t>
      </w:r>
      <w:r>
        <w:rPr>
          <w:rFonts w:ascii="仿宋_GB2312" w:cs="仿宋_GB2312"/>
        </w:rPr>
        <w:t>5</w:t>
      </w:r>
      <w:r>
        <w:rPr>
          <w:rFonts w:hint="eastAsia" w:ascii="仿宋_GB2312" w:cs="仿宋_GB2312"/>
        </w:rPr>
        <w:t>个、乡镇公益性公墓和集中治丧场所</w:t>
      </w:r>
      <w:r>
        <w:rPr>
          <w:rFonts w:ascii="仿宋_GB2312" w:cs="仿宋_GB2312"/>
        </w:rPr>
        <w:t>20</w:t>
      </w:r>
      <w:r>
        <w:rPr>
          <w:rFonts w:hint="eastAsia" w:ascii="仿宋_GB2312" w:cs="仿宋_GB2312"/>
        </w:rPr>
        <w:t>个；节地生态安葬率达到</w:t>
      </w:r>
      <w:r>
        <w:rPr>
          <w:rFonts w:ascii="仿宋_GB2312" w:cs="仿宋_GB2312"/>
        </w:rPr>
        <w:t>40%</w:t>
      </w:r>
      <w:r>
        <w:rPr>
          <w:rFonts w:hint="eastAsia" w:ascii="仿宋_GB2312" w:cs="仿宋_GB2312"/>
        </w:rPr>
        <w:t>。</w:t>
      </w:r>
    </w:p>
    <w:p>
      <w:pPr>
        <w:spacing w:line="579" w:lineRule="exact"/>
        <w:ind w:firstLine="632" w:firstLineChars="200"/>
        <w:rPr>
          <w:rFonts w:ascii="黑体" w:hAnsi="黑体" w:eastAsia="黑体"/>
        </w:rPr>
      </w:pPr>
      <w:r>
        <w:rPr>
          <w:rFonts w:hint="eastAsia" w:ascii="黑体" w:hAnsi="黑体" w:eastAsia="黑体" w:cs="黑体"/>
        </w:rPr>
        <w:t>二、绩效评价工作开展情况</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（一）绩效评价目的</w:t>
      </w:r>
    </w:p>
    <w:p>
      <w:pPr>
        <w:spacing w:line="579" w:lineRule="exact"/>
        <w:ind w:firstLine="632" w:firstLineChars="200"/>
        <w:rPr>
          <w:rFonts w:ascii="仿宋_GB2312"/>
        </w:rPr>
      </w:pPr>
      <w:r>
        <w:rPr>
          <w:rFonts w:hint="eastAsia" w:ascii="仿宋_GB2312" w:cs="仿宋_GB2312"/>
        </w:rPr>
        <w:t>通过开展专项资金绩效评价，基于预期目标实现程度，全面分析和综合评价项目资金的分配使用和管理情况，及时总结经验、发现问题、分析原因、提出措施，并将作为进一步改进和加强项目专项资金管理水平和使用效益及下年度专项资金预算安排的决策依据，从而优化资源配置和提高公共服务水平。</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（二）评价对象和范围</w:t>
      </w:r>
    </w:p>
    <w:p>
      <w:pPr>
        <w:pStyle w:val="5"/>
        <w:spacing w:beforeAutospacing="0" w:afterAutospacing="0" w:line="579" w:lineRule="exact"/>
        <w:ind w:firstLine="600"/>
        <w:textAlignment w:val="center"/>
        <w:rPr>
          <w:rFonts w:ascii="仿宋_GB2312"/>
          <w:kern w:val="2"/>
          <w:sz w:val="30"/>
          <w:szCs w:val="30"/>
        </w:rPr>
      </w:pPr>
      <w:r>
        <w:rPr>
          <w:rFonts w:hint="eastAsia" w:ascii="仿宋_GB2312" w:cs="仿宋_GB2312"/>
          <w:kern w:val="2"/>
          <w:sz w:val="30"/>
          <w:szCs w:val="30"/>
        </w:rPr>
        <w:t>本次绩效评价对象为“</w:t>
      </w:r>
      <w:r>
        <w:rPr>
          <w:rFonts w:ascii="仿宋_GB2312" w:cs="仿宋_GB2312"/>
          <w:kern w:val="2"/>
          <w:sz w:val="30"/>
          <w:szCs w:val="30"/>
        </w:rPr>
        <w:t>2019</w:t>
      </w:r>
      <w:r>
        <w:rPr>
          <w:rFonts w:hint="eastAsia" w:ascii="仿宋_GB2312" w:cs="仿宋_GB2312"/>
          <w:kern w:val="2"/>
          <w:sz w:val="30"/>
          <w:szCs w:val="30"/>
        </w:rPr>
        <w:t>年度民政公共服务设施建设专项资金</w:t>
      </w:r>
      <w:r>
        <w:rPr>
          <w:rFonts w:ascii="仿宋_GB2312" w:cs="仿宋_GB2312"/>
          <w:kern w:val="2"/>
          <w:sz w:val="30"/>
          <w:szCs w:val="30"/>
        </w:rPr>
        <w:t>5800</w:t>
      </w:r>
      <w:r>
        <w:rPr>
          <w:rFonts w:hint="eastAsia" w:ascii="仿宋_GB2312" w:cs="仿宋_GB2312"/>
          <w:kern w:val="2"/>
          <w:sz w:val="30"/>
          <w:szCs w:val="30"/>
        </w:rPr>
        <w:t>万元”。评价范围为分配资金的</w:t>
      </w:r>
      <w:r>
        <w:rPr>
          <w:rFonts w:ascii="仿宋_GB2312" w:cs="仿宋_GB2312"/>
          <w:kern w:val="2"/>
          <w:sz w:val="30"/>
          <w:szCs w:val="30"/>
        </w:rPr>
        <w:t>14</w:t>
      </w:r>
      <w:r>
        <w:rPr>
          <w:rFonts w:hint="eastAsia" w:ascii="仿宋_GB2312" w:cs="仿宋_GB2312"/>
          <w:kern w:val="2"/>
          <w:sz w:val="30"/>
          <w:szCs w:val="30"/>
        </w:rPr>
        <w:t>个市州、</w:t>
      </w:r>
      <w:r>
        <w:rPr>
          <w:rFonts w:ascii="仿宋_GB2312" w:cs="仿宋_GB2312"/>
          <w:kern w:val="2"/>
          <w:sz w:val="30"/>
          <w:szCs w:val="30"/>
        </w:rPr>
        <w:t>82</w:t>
      </w:r>
      <w:r>
        <w:rPr>
          <w:rFonts w:hint="eastAsia" w:ascii="仿宋_GB2312" w:cs="仿宋_GB2312"/>
          <w:kern w:val="2"/>
          <w:sz w:val="30"/>
          <w:szCs w:val="30"/>
        </w:rPr>
        <w:t>个县市区的民政部门。</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（三）绩效评价原则、评价指标体系、评价方法、评价标准</w:t>
      </w:r>
    </w:p>
    <w:p>
      <w:pPr>
        <w:spacing w:line="579" w:lineRule="exact"/>
        <w:ind w:firstLine="632" w:firstLineChars="200"/>
        <w:rPr>
          <w:rFonts w:ascii="仿宋_GB2312"/>
        </w:rPr>
      </w:pPr>
      <w:r>
        <w:rPr>
          <w:rFonts w:ascii="仿宋_GB2312" w:cs="仿宋_GB2312"/>
        </w:rPr>
        <w:t>1</w:t>
      </w:r>
      <w:r>
        <w:rPr>
          <w:rFonts w:hint="eastAsia" w:ascii="仿宋_GB2312" w:cs="仿宋_GB2312"/>
        </w:rPr>
        <w:t>、绩效评价原则：以遵循“科学公正、统筹兼顾、激励约束、公开透明”为原则； </w:t>
      </w:r>
    </w:p>
    <w:p>
      <w:pPr>
        <w:spacing w:line="579" w:lineRule="exact"/>
        <w:ind w:firstLine="632" w:firstLineChars="200"/>
        <w:rPr>
          <w:rFonts w:ascii="仿宋_GB2312"/>
        </w:rPr>
      </w:pPr>
      <w:r>
        <w:rPr>
          <w:rFonts w:ascii="仿宋_GB2312" w:cs="仿宋_GB2312"/>
        </w:rPr>
        <w:t>2</w:t>
      </w:r>
      <w:r>
        <w:rPr>
          <w:rFonts w:hint="eastAsia" w:ascii="仿宋_GB2312" w:cs="仿宋_GB2312"/>
        </w:rPr>
        <w:t>、评价指标体系见附表； </w:t>
      </w:r>
    </w:p>
    <w:p>
      <w:pPr>
        <w:spacing w:line="579" w:lineRule="exact"/>
        <w:ind w:firstLine="632" w:firstLineChars="200"/>
        <w:rPr>
          <w:rFonts w:ascii="仿宋_GB2312"/>
        </w:rPr>
      </w:pPr>
      <w:r>
        <w:rPr>
          <w:rFonts w:ascii="仿宋_GB2312" w:cs="仿宋_GB2312"/>
        </w:rPr>
        <w:t>3</w:t>
      </w:r>
      <w:r>
        <w:rPr>
          <w:rFonts w:hint="eastAsia" w:ascii="仿宋_GB2312" w:cs="仿宋_GB2312"/>
        </w:rPr>
        <w:t>、评价方法：成本效益分析法、比较法、因素分析法、最低成本法、公众评判法、标杆管理法；</w:t>
      </w:r>
    </w:p>
    <w:p>
      <w:pPr>
        <w:spacing w:line="579" w:lineRule="exact"/>
        <w:ind w:firstLine="632" w:firstLineChars="200"/>
        <w:rPr>
          <w:rFonts w:ascii="仿宋_GB2312"/>
        </w:rPr>
      </w:pPr>
      <w:r>
        <w:rPr>
          <w:rFonts w:ascii="仿宋_GB2312" w:cs="仿宋_GB2312"/>
        </w:rPr>
        <w:t>4</w:t>
      </w:r>
      <w:r>
        <w:rPr>
          <w:rFonts w:hint="eastAsia" w:ascii="仿宋_GB2312" w:cs="仿宋_GB2312"/>
        </w:rPr>
        <w:t>、评价标准：计划标准、行业标准、历史标准、财政部门和预算部门确认或认可的其他标准。</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（四）绩效评价工作过程</w:t>
      </w:r>
    </w:p>
    <w:p>
      <w:pPr>
        <w:pStyle w:val="5"/>
        <w:spacing w:beforeAutospacing="0" w:afterAutospacing="0" w:line="579" w:lineRule="exact"/>
        <w:ind w:firstLine="600"/>
        <w:jc w:val="both"/>
        <w:textAlignment w:val="center"/>
        <w:rPr>
          <w:rFonts w:ascii="仿宋_GB2312"/>
          <w:kern w:val="2"/>
          <w:sz w:val="30"/>
          <w:szCs w:val="30"/>
        </w:rPr>
      </w:pPr>
      <w:r>
        <w:rPr>
          <w:rFonts w:ascii="仿宋_GB2312" w:cs="仿宋_GB2312"/>
          <w:kern w:val="2"/>
          <w:sz w:val="30"/>
          <w:szCs w:val="30"/>
        </w:rPr>
        <w:t>1</w:t>
      </w:r>
      <w:r>
        <w:rPr>
          <w:rFonts w:hint="eastAsia" w:ascii="仿宋_GB2312" w:cs="仿宋_GB2312"/>
          <w:kern w:val="2"/>
          <w:sz w:val="30"/>
          <w:szCs w:val="30"/>
        </w:rPr>
        <w:t>、前期准备。省民政厅成立绩效评价工作组，办公室设在省民政厅规财处，负责本此绩效评价工作的组织协调和具体实施，规财处组织评价小组成员认真学习有关民政公共服务设施建设专项的相关资料文件，了解该项目的基本情况和背景，仔细研究讨论评价指标体系及其他要求，为现场评价作好充分准备。</w:t>
      </w:r>
    </w:p>
    <w:p>
      <w:pPr>
        <w:pStyle w:val="5"/>
        <w:spacing w:beforeAutospacing="0" w:afterAutospacing="0" w:line="579" w:lineRule="exact"/>
        <w:ind w:firstLine="600"/>
        <w:jc w:val="both"/>
        <w:textAlignment w:val="center"/>
        <w:rPr>
          <w:rFonts w:ascii="仿宋_GB2312"/>
          <w:kern w:val="2"/>
          <w:sz w:val="30"/>
          <w:szCs w:val="30"/>
        </w:rPr>
      </w:pPr>
      <w:r>
        <w:rPr>
          <w:rFonts w:ascii="仿宋_GB2312" w:cs="仿宋_GB2312"/>
          <w:kern w:val="2"/>
          <w:sz w:val="30"/>
          <w:szCs w:val="30"/>
        </w:rPr>
        <w:t>2</w:t>
      </w:r>
      <w:r>
        <w:rPr>
          <w:rFonts w:hint="eastAsia" w:ascii="仿宋_GB2312" w:cs="仿宋_GB2312"/>
          <w:kern w:val="2"/>
          <w:sz w:val="30"/>
          <w:szCs w:val="30"/>
        </w:rPr>
        <w:t>、项目单位自查。省民政厅下发《关于开展</w:t>
      </w:r>
      <w:r>
        <w:rPr>
          <w:rFonts w:ascii="仿宋_GB2312" w:cs="仿宋_GB2312"/>
          <w:kern w:val="2"/>
          <w:sz w:val="30"/>
          <w:szCs w:val="30"/>
        </w:rPr>
        <w:t>2019</w:t>
      </w:r>
      <w:r>
        <w:rPr>
          <w:rFonts w:hint="eastAsia" w:ascii="仿宋_GB2312" w:cs="仿宋_GB2312"/>
          <w:kern w:val="2"/>
          <w:sz w:val="30"/>
          <w:szCs w:val="30"/>
        </w:rPr>
        <w:t>年度部门整体支出绩效自评工作的通知》，各市州、县市区民政部门按照通知要求进行自评，编制项目支出绩效自评表和项目支出绩效自评报告，报送省民政厅规财处。</w:t>
      </w:r>
    </w:p>
    <w:p>
      <w:pPr>
        <w:pStyle w:val="5"/>
        <w:spacing w:beforeAutospacing="0" w:afterAutospacing="0" w:line="579" w:lineRule="exact"/>
        <w:ind w:firstLine="600"/>
        <w:jc w:val="both"/>
        <w:textAlignment w:val="center"/>
        <w:rPr>
          <w:rFonts w:ascii="仿宋_GB2312"/>
          <w:kern w:val="2"/>
          <w:sz w:val="30"/>
          <w:szCs w:val="30"/>
        </w:rPr>
      </w:pPr>
      <w:r>
        <w:rPr>
          <w:rFonts w:ascii="仿宋_GB2312" w:cs="仿宋_GB2312"/>
          <w:kern w:val="2"/>
          <w:sz w:val="30"/>
          <w:szCs w:val="30"/>
        </w:rPr>
        <w:t>3</w:t>
      </w:r>
      <w:r>
        <w:rPr>
          <w:rFonts w:hint="eastAsia" w:ascii="仿宋_GB2312" w:cs="仿宋_GB2312"/>
          <w:kern w:val="2"/>
          <w:sz w:val="30"/>
          <w:szCs w:val="30"/>
        </w:rPr>
        <w:t>、实地查看。绩效评价小组人员前往部分项目单位开展调研和核查，结合现场评价情况和提供的材料，进行综合分析、归纳汇总。</w:t>
      </w:r>
    </w:p>
    <w:p>
      <w:pPr>
        <w:pStyle w:val="5"/>
        <w:spacing w:beforeAutospacing="0" w:afterAutospacing="0" w:line="579" w:lineRule="exact"/>
        <w:ind w:firstLine="600"/>
        <w:jc w:val="both"/>
        <w:textAlignment w:val="center"/>
        <w:rPr>
          <w:rFonts w:ascii="仿宋_GB2312"/>
          <w:kern w:val="2"/>
          <w:sz w:val="30"/>
          <w:szCs w:val="30"/>
        </w:rPr>
      </w:pPr>
      <w:r>
        <w:rPr>
          <w:rFonts w:ascii="仿宋_GB2312" w:cs="仿宋_GB2312"/>
          <w:kern w:val="2"/>
          <w:sz w:val="30"/>
          <w:szCs w:val="30"/>
        </w:rPr>
        <w:t>4</w:t>
      </w:r>
      <w:r>
        <w:rPr>
          <w:rFonts w:hint="eastAsia" w:ascii="仿宋_GB2312" w:cs="仿宋_GB2312"/>
          <w:kern w:val="2"/>
          <w:sz w:val="30"/>
          <w:szCs w:val="30"/>
        </w:rPr>
        <w:t>、分析评价：根据现场考评工作获得的信息和各市州民政部门提供的资料，对该项目进行定性、定量评价，计算各种评价指标，完成各类评价工作表格的整理，根据资料分析该项目的实施效果；根据评价指标体系与评价标准，得出评价结论，按照既定的格式和要求撰写评价报告。</w:t>
      </w:r>
    </w:p>
    <w:p>
      <w:pPr>
        <w:pStyle w:val="5"/>
        <w:spacing w:beforeAutospacing="0" w:afterAutospacing="0" w:line="579" w:lineRule="exact"/>
        <w:ind w:firstLine="600"/>
        <w:jc w:val="both"/>
        <w:textAlignment w:val="center"/>
        <w:rPr>
          <w:rFonts w:ascii="仿宋_GB2312"/>
          <w:kern w:val="2"/>
          <w:sz w:val="30"/>
          <w:szCs w:val="30"/>
        </w:rPr>
      </w:pPr>
      <w:r>
        <w:rPr>
          <w:rFonts w:ascii="仿宋_GB2312" w:cs="仿宋_GB2312"/>
          <w:kern w:val="2"/>
          <w:sz w:val="30"/>
          <w:szCs w:val="30"/>
        </w:rPr>
        <w:t>5</w:t>
      </w:r>
      <w:r>
        <w:rPr>
          <w:rFonts w:hint="eastAsia" w:ascii="仿宋_GB2312" w:cs="仿宋_GB2312"/>
          <w:kern w:val="2"/>
          <w:sz w:val="30"/>
          <w:szCs w:val="30"/>
        </w:rPr>
        <w:t>、归档整理。对绩效评价工作资料进行整理，完善绩效评价工作底稿并归档。</w:t>
      </w:r>
    </w:p>
    <w:p>
      <w:pPr>
        <w:spacing w:line="579" w:lineRule="exact"/>
        <w:ind w:firstLine="632" w:firstLineChars="200"/>
        <w:rPr>
          <w:rFonts w:ascii="黑体" w:hAnsi="黑体" w:eastAsia="黑体"/>
        </w:rPr>
      </w:pPr>
      <w:r>
        <w:rPr>
          <w:rFonts w:hint="eastAsia" w:ascii="黑体" w:hAnsi="黑体" w:eastAsia="黑体" w:cs="黑体"/>
        </w:rPr>
        <w:t>三、综合评价情况及评价结论</w:t>
      </w:r>
    </w:p>
    <w:p>
      <w:pPr>
        <w:spacing w:line="579" w:lineRule="exact"/>
        <w:ind w:firstLine="592" w:firstLineChars="200"/>
        <w:rPr>
          <w:rFonts w:ascii="仿宋_GB2312"/>
          <w:sz w:val="30"/>
          <w:szCs w:val="30"/>
        </w:rPr>
      </w:pPr>
      <w:r>
        <w:rPr>
          <w:rFonts w:hint="eastAsia" w:ascii="仿宋_GB2312" w:cs="仿宋_GB2312"/>
          <w:sz w:val="30"/>
          <w:szCs w:val="30"/>
        </w:rPr>
        <w:t>根据民政公共服务设施建设专项的相关政策规定，民政公共服务设施建设在专项资金分配、使用和管理等方面能够做到制度完善、分工明确、专款专用、安全运行，使全省民政基础设施建设工作得到有效落实，项目指标完成较好。本次自评总得分为</w:t>
      </w:r>
      <w:r>
        <w:rPr>
          <w:rFonts w:ascii="仿宋_GB2312" w:cs="仿宋_GB2312"/>
          <w:sz w:val="30"/>
          <w:szCs w:val="30"/>
        </w:rPr>
        <w:t>95</w:t>
      </w:r>
      <w:r>
        <w:rPr>
          <w:rFonts w:hint="eastAsia" w:ascii="仿宋_GB2312" w:cs="仿宋_GB2312"/>
          <w:sz w:val="30"/>
          <w:szCs w:val="30"/>
        </w:rPr>
        <w:t>分，评价等次为“优”，具体评分情况见附件</w:t>
      </w:r>
      <w:r>
        <w:rPr>
          <w:rFonts w:ascii="仿宋_GB2312" w:cs="仿宋_GB2312"/>
          <w:sz w:val="30"/>
          <w:szCs w:val="30"/>
        </w:rPr>
        <w:t>1</w:t>
      </w:r>
      <w:r>
        <w:rPr>
          <w:rFonts w:hint="eastAsia" w:ascii="仿宋_GB2312" w:cs="仿宋_GB2312"/>
          <w:sz w:val="30"/>
          <w:szCs w:val="30"/>
        </w:rPr>
        <w:t>《</w:t>
      </w:r>
      <w:r>
        <w:rPr>
          <w:rFonts w:ascii="仿宋_GB2312" w:cs="仿宋_GB2312"/>
          <w:sz w:val="30"/>
          <w:szCs w:val="30"/>
        </w:rPr>
        <w:t>2019</w:t>
      </w:r>
      <w:r>
        <w:rPr>
          <w:rFonts w:hint="eastAsia" w:ascii="仿宋_GB2312" w:cs="仿宋_GB2312"/>
          <w:sz w:val="30"/>
          <w:szCs w:val="30"/>
        </w:rPr>
        <w:t>年民政公共服务设施建设项目支出绩效评价指标表》。</w:t>
      </w:r>
    </w:p>
    <w:p>
      <w:pPr>
        <w:spacing w:line="579" w:lineRule="exact"/>
        <w:ind w:firstLine="632" w:firstLineChars="200"/>
        <w:rPr>
          <w:rFonts w:ascii="黑体" w:hAnsi="黑体" w:eastAsia="黑体"/>
        </w:rPr>
      </w:pPr>
      <w:r>
        <w:rPr>
          <w:rFonts w:hint="eastAsia" w:ascii="黑体" w:hAnsi="黑体" w:eastAsia="黑体" w:cs="黑体"/>
        </w:rPr>
        <w:t>四、绩效评价指标分析</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（一）项目决策情况</w:t>
      </w:r>
    </w:p>
    <w:p>
      <w:pPr>
        <w:spacing w:line="579" w:lineRule="exact"/>
        <w:ind w:firstLine="632" w:firstLineChars="200"/>
        <w:outlineLvl w:val="0"/>
        <w:rPr>
          <w:rFonts w:ascii="仿宋_GB2312"/>
        </w:rPr>
      </w:pPr>
      <w:r>
        <w:rPr>
          <w:rFonts w:hint="eastAsia" w:ascii="仿宋_GB2312" w:cs="仿宋_GB2312"/>
        </w:rPr>
        <w:t>根据《中共中央办公厅国务院办公厅印发关于党员干部带头推动殡葬改革的意见》（中办发〔</w:t>
      </w:r>
      <w:r>
        <w:rPr>
          <w:rFonts w:ascii="仿宋_GB2312" w:cs="仿宋_GB2312"/>
        </w:rPr>
        <w:t>2013</w:t>
      </w:r>
      <w:r>
        <w:rPr>
          <w:rFonts w:hint="eastAsia" w:ascii="仿宋_GB2312" w:cs="仿宋_GB2312"/>
        </w:rPr>
        <w:t>〕</w:t>
      </w:r>
      <w:r>
        <w:rPr>
          <w:rFonts w:ascii="仿宋_GB2312" w:cs="仿宋_GB2312"/>
        </w:rPr>
        <w:t>23</w:t>
      </w:r>
      <w:r>
        <w:rPr>
          <w:rFonts w:hint="eastAsia" w:ascii="仿宋_GB2312" w:cs="仿宋_GB2312"/>
        </w:rPr>
        <w:t>号）、《国务院办公厅关于推进养老服务发展的意见》（国办发〔</w:t>
      </w:r>
      <w:r>
        <w:rPr>
          <w:rFonts w:ascii="仿宋_GB2312" w:cs="仿宋_GB2312"/>
        </w:rPr>
        <w:t>2019</w:t>
      </w:r>
      <w:r>
        <w:rPr>
          <w:rFonts w:hint="eastAsia" w:ascii="仿宋_GB2312" w:cs="仿宋_GB2312"/>
        </w:rPr>
        <w:t>〕</w:t>
      </w:r>
      <w:r>
        <w:rPr>
          <w:rFonts w:ascii="仿宋_GB2312" w:cs="仿宋_GB2312"/>
        </w:rPr>
        <w:t>5</w:t>
      </w:r>
      <w:r>
        <w:rPr>
          <w:rFonts w:hint="eastAsia" w:ascii="仿宋_GB2312" w:cs="仿宋_GB2312"/>
        </w:rPr>
        <w:t>号）、《民政部关于进一步扩大养老服务供给促进养老服务消费的实施意见》（民发〔</w:t>
      </w:r>
      <w:r>
        <w:rPr>
          <w:rFonts w:ascii="仿宋_GB2312" w:cs="仿宋_GB2312"/>
        </w:rPr>
        <w:t>2019</w:t>
      </w:r>
      <w:r>
        <w:rPr>
          <w:rFonts w:hint="eastAsia" w:ascii="仿宋_GB2312" w:cs="仿宋_GB2312"/>
        </w:rPr>
        <w:t>〕</w:t>
      </w:r>
      <w:r>
        <w:rPr>
          <w:rFonts w:ascii="仿宋_GB2312" w:cs="仿宋_GB2312"/>
        </w:rPr>
        <w:t>88</w:t>
      </w:r>
      <w:r>
        <w:rPr>
          <w:rFonts w:hint="eastAsia" w:ascii="仿宋_GB2312" w:cs="仿宋_GB2312"/>
        </w:rPr>
        <w:t>号）、湖南省委办公厅、省政府办公厅印发《关于党员干部带头推动殡葬改革的实施意见》（湘办发〔</w:t>
      </w:r>
      <w:r>
        <w:rPr>
          <w:rFonts w:ascii="仿宋_GB2312" w:cs="仿宋_GB2312"/>
        </w:rPr>
        <w:t>2014</w:t>
      </w:r>
      <w:r>
        <w:rPr>
          <w:rFonts w:hint="eastAsia" w:ascii="仿宋_GB2312" w:cs="仿宋_GB2312"/>
        </w:rPr>
        <w:t>〕</w:t>
      </w:r>
      <w:r>
        <w:rPr>
          <w:rFonts w:ascii="仿宋_GB2312" w:cs="仿宋_GB2312"/>
        </w:rPr>
        <w:t>26</w:t>
      </w:r>
      <w:r>
        <w:rPr>
          <w:rFonts w:hint="eastAsia" w:ascii="仿宋_GB2312" w:cs="仿宋_GB2312"/>
        </w:rPr>
        <w:t>号）等政策文件，湖南省财政厅设立民政公共服务设施建设专项资金，由湖南省民政厅负责管理和实施。</w:t>
      </w:r>
    </w:p>
    <w:p>
      <w:pPr>
        <w:spacing w:line="579" w:lineRule="exact"/>
        <w:ind w:firstLine="632" w:firstLineChars="200"/>
        <w:outlineLvl w:val="0"/>
        <w:rPr>
          <w:rFonts w:ascii="方正楷体简体" w:eastAsia="方正楷体简体"/>
        </w:rPr>
      </w:pPr>
      <w:r>
        <w:rPr>
          <w:rFonts w:hint="eastAsia" w:ascii="方正楷体简体" w:eastAsia="方正楷体简体" w:cs="方正楷体简体"/>
          <w:b/>
          <w:bCs/>
        </w:rPr>
        <w:t>（二）项目过程情况</w:t>
      </w:r>
    </w:p>
    <w:p>
      <w:pPr>
        <w:spacing w:line="579" w:lineRule="exact"/>
        <w:ind w:firstLine="632" w:firstLineChars="200"/>
        <w:outlineLvl w:val="0"/>
        <w:rPr>
          <w:rFonts w:ascii="仿宋_GB2312"/>
        </w:rPr>
      </w:pPr>
      <w:r>
        <w:rPr>
          <w:rFonts w:hint="eastAsia" w:ascii="仿宋_GB2312" w:cs="仿宋_GB2312"/>
        </w:rPr>
        <w:t>湖南省民政公共服务设施建设专项资金由财政部门和民政部门共同管理。省财政厅负责审核省民政厅提出的资金预算和年度分配使用计划，拨付资金，监督检查资金使用管理情况。市县财政部门负责拨付资金，监督检查资金使用管理情况。省民政厅负责编制资金预算，提出资金年度分配使用计划，监督检查各地项目执行情况，组织项目评审和绩效评价。市县民政部门负责组织项目实施，向上级报告项目进展和资金落实情况。省民政厅制定《湖南省民政公共服务设施建设专项资金管理办法》，对民政专项资金的管理和使用进行规范。专项资金严格按照逐级分配拨付的形式，在规定时限内拨付到位，各级财务和业务主管部门建立资金拨付台账，确保专项资金专款专用，严禁挪作它用或捆绑使用，严禁在民政专项资金中提取工作经费等。对项目建设补助支出的专项资金，根据项目的建设进度、工程质量等合同要求分期拨付。省厅及各市州民政部门全年多次组织专项资金督导和检查工作，不断加强对各县市区民政专项资金使用的指导和监督。各级管理部门和项目实施单位把握资金使用方向，确保项目资金分配科学、透明，项目资金使用合法、合规。</w:t>
      </w:r>
    </w:p>
    <w:p>
      <w:pPr>
        <w:spacing w:line="579" w:lineRule="exact"/>
        <w:ind w:firstLine="632" w:firstLineChars="200"/>
        <w:outlineLvl w:val="0"/>
        <w:rPr>
          <w:rFonts w:ascii="方正楷体简体" w:eastAsia="方正楷体简体"/>
          <w:b/>
          <w:bCs/>
        </w:rPr>
      </w:pPr>
      <w:r>
        <w:rPr>
          <w:rFonts w:hint="eastAsia" w:ascii="方正楷体简体" w:eastAsia="方正楷体简体" w:cs="方正楷体简体"/>
          <w:b/>
          <w:bCs/>
        </w:rPr>
        <w:t>（三）项目产出情况</w:t>
      </w:r>
    </w:p>
    <w:p>
      <w:pPr>
        <w:spacing w:line="579" w:lineRule="exact"/>
        <w:ind w:firstLine="632" w:firstLineChars="200"/>
        <w:outlineLvl w:val="0"/>
        <w:rPr>
          <w:rFonts w:ascii="仿宋_GB2312"/>
          <w:highlight w:val="yellow"/>
        </w:rPr>
      </w:pPr>
      <w:r>
        <w:rPr>
          <w:rFonts w:ascii="仿宋_GB2312" w:cs="仿宋_GB2312"/>
        </w:rPr>
        <w:t>2019</w:t>
      </w:r>
      <w:r>
        <w:rPr>
          <w:rFonts w:hint="eastAsia" w:ascii="仿宋_GB2312" w:cs="仿宋_GB2312"/>
        </w:rPr>
        <w:t>年各市州每千名老年人口拥有床位数均超过</w:t>
      </w:r>
      <w:r>
        <w:rPr>
          <w:rFonts w:ascii="仿宋_GB2312" w:cs="仿宋_GB2312"/>
        </w:rPr>
        <w:t>34</w:t>
      </w:r>
      <w:r>
        <w:rPr>
          <w:rFonts w:hint="eastAsia" w:ascii="仿宋_GB2312" w:cs="仿宋_GB2312"/>
        </w:rPr>
        <w:t>张，护理型床位数占养老机构床位总数均超过</w:t>
      </w:r>
      <w:r>
        <w:rPr>
          <w:rFonts w:ascii="仿宋_GB2312" w:cs="仿宋_GB2312"/>
        </w:rPr>
        <w:t>29%</w:t>
      </w:r>
      <w:r>
        <w:rPr>
          <w:rFonts w:hint="eastAsia" w:ascii="仿宋_GB2312" w:cs="仿宋_GB2312"/>
        </w:rPr>
        <w:t>，不能自理的特困人员的集中供养率均超过</w:t>
      </w:r>
      <w:r>
        <w:rPr>
          <w:rFonts w:ascii="仿宋_GB2312" w:cs="仿宋_GB2312"/>
        </w:rPr>
        <w:t>45%</w:t>
      </w:r>
      <w:r>
        <w:rPr>
          <w:rFonts w:hint="eastAsia" w:ascii="仿宋_GB2312" w:cs="仿宋_GB2312"/>
        </w:rPr>
        <w:t>。全省新建和更新改造殡仪馆个数</w:t>
      </w:r>
      <w:r>
        <w:rPr>
          <w:rFonts w:ascii="仿宋_GB2312" w:cs="仿宋_GB2312"/>
        </w:rPr>
        <w:t>5</w:t>
      </w:r>
      <w:r>
        <w:rPr>
          <w:rFonts w:hint="eastAsia" w:ascii="仿宋_GB2312" w:cs="仿宋_GB2312"/>
        </w:rPr>
        <w:t>个，新建县级公益性骨灰存放设施</w:t>
      </w:r>
      <w:r>
        <w:rPr>
          <w:rFonts w:ascii="仿宋_GB2312" w:cs="仿宋_GB2312"/>
        </w:rPr>
        <w:t>5</w:t>
      </w:r>
      <w:r>
        <w:rPr>
          <w:rFonts w:hint="eastAsia" w:ascii="仿宋_GB2312" w:cs="仿宋_GB2312"/>
        </w:rPr>
        <w:t>个，乡镇公益性公墓和集中治丧场所</w:t>
      </w:r>
      <w:r>
        <w:rPr>
          <w:rFonts w:ascii="仿宋_GB2312" w:cs="仿宋_GB2312"/>
        </w:rPr>
        <w:t>20</w:t>
      </w:r>
      <w:r>
        <w:rPr>
          <w:rFonts w:hint="eastAsia" w:ascii="仿宋_GB2312" w:cs="仿宋_GB2312"/>
        </w:rPr>
        <w:t>个，节地生态安葬率各市州均超过</w:t>
      </w:r>
      <w:r>
        <w:rPr>
          <w:rFonts w:ascii="仿宋_GB2312" w:cs="仿宋_GB2312"/>
        </w:rPr>
        <w:t>45%</w:t>
      </w:r>
      <w:r>
        <w:rPr>
          <w:rFonts w:hint="eastAsia" w:ascii="仿宋_GB2312" w:cs="仿宋_GB2312"/>
        </w:rPr>
        <w:t>。</w:t>
      </w:r>
    </w:p>
    <w:p>
      <w:pPr>
        <w:spacing w:line="579" w:lineRule="exact"/>
        <w:ind w:firstLine="632" w:firstLineChars="200"/>
        <w:outlineLvl w:val="0"/>
        <w:rPr>
          <w:rFonts w:ascii="方正楷体简体" w:eastAsia="方正楷体简体"/>
          <w:b/>
          <w:bCs/>
        </w:rPr>
      </w:pPr>
      <w:r>
        <w:rPr>
          <w:rFonts w:hint="eastAsia" w:ascii="方正楷体简体" w:eastAsia="方正楷体简体" w:cs="方正楷体简体"/>
          <w:b/>
          <w:bCs/>
        </w:rPr>
        <w:t>（四）项目效益情况</w:t>
      </w:r>
    </w:p>
    <w:p>
      <w:pPr>
        <w:spacing w:line="579" w:lineRule="exact"/>
        <w:ind w:firstLine="632" w:firstLineChars="200"/>
        <w:outlineLvl w:val="0"/>
        <w:rPr>
          <w:b/>
          <w:bCs/>
        </w:rPr>
      </w:pPr>
      <w:bookmarkStart w:id="0" w:name="_Toc462211030"/>
      <w:bookmarkStart w:id="1" w:name="_Toc390788162"/>
      <w:r>
        <w:rPr>
          <w:b/>
          <w:bCs/>
        </w:rPr>
        <w:t>1</w:t>
      </w:r>
      <w:r>
        <w:rPr>
          <w:rFonts w:hint="eastAsia" w:cs="仿宋_GB2312"/>
          <w:b/>
          <w:bCs/>
        </w:rPr>
        <w:t>、社会养老服务体系建设逐渐完善，</w:t>
      </w:r>
      <w:bookmarkEnd w:id="0"/>
      <w:bookmarkEnd w:id="1"/>
      <w:r>
        <w:rPr>
          <w:rFonts w:hint="eastAsia" w:cs="仿宋_GB2312"/>
          <w:b/>
          <w:bCs/>
        </w:rPr>
        <w:t>养老机构风险防范意识逐步增强</w:t>
      </w:r>
    </w:p>
    <w:p>
      <w:pPr>
        <w:spacing w:line="579" w:lineRule="exact"/>
        <w:ind w:firstLine="632" w:firstLineChars="200"/>
        <w:outlineLvl w:val="0"/>
      </w:pPr>
      <w:r>
        <w:rPr>
          <w:rFonts w:hint="eastAsia" w:cs="仿宋_GB2312"/>
        </w:rPr>
        <w:t>面对中国社会加速步入老龄化的现状，各级政府对社会养老服务体系建设的重视不断提升。</w:t>
      </w:r>
      <w:r>
        <w:t>2019</w:t>
      </w:r>
      <w:r>
        <w:rPr>
          <w:rFonts w:hint="eastAsia" w:cs="仿宋_GB2312"/>
        </w:rPr>
        <w:t>年省民政厅共计安排社会养老服务体系建设资金</w:t>
      </w:r>
      <w:r>
        <w:t>2,460.00</w:t>
      </w:r>
      <w:r>
        <w:rPr>
          <w:rFonts w:hint="eastAsia" w:cs="仿宋_GB2312"/>
        </w:rPr>
        <w:t>万元，占年初预算专项资金比例达</w:t>
      </w:r>
      <w:r>
        <w:t>42.41%</w:t>
      </w:r>
      <w:r>
        <w:rPr>
          <w:rFonts w:hint="eastAsia" w:cs="仿宋_GB2312"/>
        </w:rPr>
        <w:t>。资金主要用于基本养老服务补贴、民营养老机构运营补贴。通过资金投入，社会养老服务体系建设逐渐完善，养老机构风险防范意识逐步增强。</w:t>
      </w:r>
    </w:p>
    <w:p>
      <w:pPr>
        <w:spacing w:line="579" w:lineRule="exact"/>
        <w:ind w:firstLine="632" w:firstLineChars="200"/>
        <w:outlineLvl w:val="0"/>
      </w:pPr>
      <w:r>
        <w:rPr>
          <w:rFonts w:hint="eastAsia" w:cs="仿宋_GB2312"/>
        </w:rPr>
        <w:t>如株洲市</w:t>
      </w:r>
      <w:r>
        <w:t>2019</w:t>
      </w:r>
      <w:r>
        <w:rPr>
          <w:rFonts w:hint="eastAsia" w:cs="仿宋_GB2312"/>
        </w:rPr>
        <w:t>年分配省级社会养老服务体系建设资金</w:t>
      </w:r>
      <w:r>
        <w:t>211.60</w:t>
      </w:r>
      <w:r>
        <w:rPr>
          <w:rFonts w:hint="eastAsia" w:cs="仿宋_GB2312"/>
        </w:rPr>
        <w:t>万元，其中基本养老服务补贴</w:t>
      </w:r>
      <w:r>
        <w:t>18.60</w:t>
      </w:r>
      <w:r>
        <w:rPr>
          <w:rFonts w:hint="eastAsia" w:cs="仿宋_GB2312"/>
        </w:rPr>
        <w:t>万元，民营养老机构运营补贴</w:t>
      </w:r>
      <w:r>
        <w:t>193.00</w:t>
      </w:r>
      <w:r>
        <w:rPr>
          <w:rFonts w:hint="eastAsia" w:cs="仿宋_GB2312"/>
        </w:rPr>
        <w:t>万元，全年培育出有代表性的品牌服务机构</w:t>
      </w:r>
      <w:r>
        <w:t>5</w:t>
      </w:r>
      <w:r>
        <w:rPr>
          <w:rFonts w:hint="eastAsia" w:cs="仿宋_GB2312"/>
        </w:rPr>
        <w:t>家，全市“县市区有示范性养老服务中心、街道（乡镇）有养老服务中心、社区（村）有日间照料中心、小区有驿站”的四级养老服务设施网络覆盖率达到</w:t>
      </w:r>
      <w:r>
        <w:t>90%</w:t>
      </w:r>
      <w:r>
        <w:rPr>
          <w:rFonts w:hint="eastAsia" w:cs="仿宋_GB2312"/>
        </w:rPr>
        <w:t>。同时加大养老服务人才专业化培训力度，全市养老服务经营管理人才、护理人才和社工志愿者人才三支人才队伍逐渐壮大。岳阳市当年产出代表性品牌服务机构数量</w:t>
      </w:r>
      <w:r>
        <w:t>30</w:t>
      </w:r>
      <w:r>
        <w:rPr>
          <w:rFonts w:hint="eastAsia" w:cs="仿宋_GB2312"/>
        </w:rPr>
        <w:t>个，养老服务社会组织数量</w:t>
      </w:r>
      <w:r>
        <w:t>4</w:t>
      </w:r>
      <w:r>
        <w:rPr>
          <w:rFonts w:hint="eastAsia" w:cs="仿宋_GB2312"/>
        </w:rPr>
        <w:t>个，生活不能自理的特困人员的集中供养率达到</w:t>
      </w:r>
      <w:r>
        <w:t>52.5%</w:t>
      </w:r>
      <w:r>
        <w:rPr>
          <w:rFonts w:hint="eastAsia" w:cs="仿宋_GB2312"/>
        </w:rPr>
        <w:t>，老年人服务设施覆盖率达到</w:t>
      </w:r>
      <w:r>
        <w:t>100%</w:t>
      </w:r>
      <w:r>
        <w:rPr>
          <w:rFonts w:hint="eastAsia" w:cs="仿宋_GB2312"/>
        </w:rPr>
        <w:t>，资金拨付及发放到位率</w:t>
      </w:r>
      <w:r>
        <w:t>100%</w:t>
      </w:r>
      <w:r>
        <w:rPr>
          <w:rFonts w:hint="eastAsia" w:cs="仿宋_GB2312"/>
        </w:rPr>
        <w:t>，引导和带动社会工作专业人才队伍</w:t>
      </w:r>
      <w:r>
        <w:t>2</w:t>
      </w:r>
      <w:r>
        <w:rPr>
          <w:rFonts w:hint="eastAsia" w:cs="仿宋_GB2312"/>
        </w:rPr>
        <w:t>个，帮扶特困人员及老年人</w:t>
      </w:r>
      <w:r>
        <w:t xml:space="preserve"> 6214</w:t>
      </w:r>
      <w:r>
        <w:rPr>
          <w:rFonts w:hint="eastAsia" w:cs="仿宋_GB2312"/>
        </w:rPr>
        <w:t>人，超额完成目标任务。</w:t>
      </w:r>
    </w:p>
    <w:p>
      <w:pPr>
        <w:spacing w:line="579" w:lineRule="exact"/>
        <w:ind w:firstLine="632" w:firstLineChars="200"/>
        <w:outlineLvl w:val="0"/>
        <w:rPr>
          <w:b/>
          <w:bCs/>
        </w:rPr>
      </w:pPr>
      <w:r>
        <w:rPr>
          <w:b/>
          <w:bCs/>
        </w:rPr>
        <w:t>2</w:t>
      </w:r>
      <w:r>
        <w:rPr>
          <w:rFonts w:hint="eastAsia" w:cs="仿宋_GB2312"/>
          <w:b/>
          <w:bCs/>
        </w:rPr>
        <w:t>、敬老院建设改造持续投入，推动敬老院事业健康发展</w:t>
      </w:r>
    </w:p>
    <w:p>
      <w:pPr>
        <w:spacing w:line="579" w:lineRule="exact"/>
        <w:ind w:firstLine="632" w:firstLineChars="200"/>
        <w:outlineLvl w:val="0"/>
      </w:pPr>
      <w:r>
        <w:t>2019</w:t>
      </w:r>
      <w:r>
        <w:rPr>
          <w:rFonts w:hint="eastAsia" w:cs="仿宋_GB2312"/>
        </w:rPr>
        <w:t>年度专项投入敬老院建设资金</w:t>
      </w:r>
      <w:r>
        <w:t>1,000.00</w:t>
      </w:r>
      <w:r>
        <w:rPr>
          <w:rFonts w:hint="eastAsia" w:cs="仿宋_GB2312"/>
        </w:rPr>
        <w:t>万元（自</w:t>
      </w:r>
      <w:r>
        <w:t>2015</w:t>
      </w:r>
      <w:r>
        <w:rPr>
          <w:rFonts w:hint="eastAsia" w:cs="仿宋_GB2312"/>
        </w:rPr>
        <w:t>年来，本专项持续每年投入敬老院建设资金</w:t>
      </w:r>
      <w:r>
        <w:t>1000</w:t>
      </w:r>
      <w:r>
        <w:rPr>
          <w:rFonts w:hint="eastAsia" w:cs="仿宋_GB2312"/>
        </w:rPr>
        <w:t>万元），全省敬老院通过提质改造、环境美化、设备添置等方式优化服务环境，提升集中供养、轮养对象的幸福指数，体现了党和政府对特困供养对象的关怀，推动敬老院事业健康发展。</w:t>
      </w:r>
    </w:p>
    <w:p>
      <w:pPr>
        <w:spacing w:line="579" w:lineRule="exact"/>
        <w:ind w:firstLine="632" w:firstLineChars="200"/>
        <w:outlineLvl w:val="0"/>
      </w:pPr>
      <w:r>
        <w:rPr>
          <w:rFonts w:hint="eastAsia" w:cs="仿宋_GB2312"/>
        </w:rPr>
        <w:t>如</w:t>
      </w:r>
      <w:r>
        <w:t>2019</w:t>
      </w:r>
      <w:r>
        <w:rPr>
          <w:rFonts w:hint="eastAsia" w:cs="仿宋_GB2312"/>
        </w:rPr>
        <w:t>年常德市对汉寿县龙潭桥镇月明潭敬老院进行升级改造，全护理及半护理床位</w:t>
      </w:r>
      <w:r>
        <w:t>25</w:t>
      </w:r>
      <w:r>
        <w:rPr>
          <w:rFonts w:hint="eastAsia" w:cs="仿宋_GB2312"/>
        </w:rPr>
        <w:t>张进行全面提升，对房间、走廊、卫生间等实施无障碍改造，安装扶手，升级改造活动室、洗衣房、康复室等。项目改造后，为</w:t>
      </w:r>
      <w:r>
        <w:t>64</w:t>
      </w:r>
      <w:r>
        <w:rPr>
          <w:rFonts w:hint="eastAsia" w:cs="仿宋_GB2312"/>
        </w:rPr>
        <w:t>名特困供养人员提供养老、护理服务，其中全护理和半护理</w:t>
      </w:r>
      <w:r>
        <w:t>40</w:t>
      </w:r>
      <w:r>
        <w:rPr>
          <w:rFonts w:hint="eastAsia" w:cs="仿宋_GB2312"/>
        </w:rPr>
        <w:t>人。通过对敬老院护理区进行改造，很大程度上提高了敬老院覆盖区域特困人员全护理、半护理对象的集中供养服务水平，老人们的生活质量和幸福指数明显提升。</w:t>
      </w:r>
    </w:p>
    <w:p>
      <w:pPr>
        <w:spacing w:line="579" w:lineRule="exact"/>
        <w:ind w:firstLine="632" w:firstLineChars="200"/>
        <w:outlineLvl w:val="0"/>
        <w:rPr>
          <w:b/>
          <w:bCs/>
        </w:rPr>
      </w:pPr>
      <w:r>
        <w:rPr>
          <w:b/>
          <w:bCs/>
        </w:rPr>
        <w:t>3</w:t>
      </w:r>
      <w:r>
        <w:rPr>
          <w:rFonts w:hint="eastAsia" w:cs="仿宋_GB2312"/>
          <w:b/>
          <w:bCs/>
        </w:rPr>
        <w:t>、“以奖代补”推进殡葬改革，提升殡葬服务能力</w:t>
      </w:r>
    </w:p>
    <w:p>
      <w:pPr>
        <w:spacing w:line="579" w:lineRule="exact"/>
        <w:ind w:firstLine="632" w:firstLineChars="200"/>
        <w:outlineLvl w:val="0"/>
      </w:pPr>
      <w:r>
        <w:t>2019</w:t>
      </w:r>
      <w:r>
        <w:rPr>
          <w:rFonts w:hint="eastAsia" w:cs="仿宋_GB2312"/>
        </w:rPr>
        <w:t>年度专项投入殡葬设施建设资金</w:t>
      </w:r>
      <w:r>
        <w:t>2,000.00</w:t>
      </w:r>
      <w:r>
        <w:rPr>
          <w:rFonts w:hint="eastAsia" w:cs="仿宋_GB2312"/>
        </w:rPr>
        <w:t>万元，分别用于醴陵市、衡阳县、岳阳市、岳阳县、安化县、汝城等新建和扩建殡葬项目。通过新建和扩建殡葬设施建设，实行葬法与葬礼的改革，清理限定区域内的散葬坟，实行集中到公墓、骨灰楼（堂）安置，有利于加强生态环境保护，改善投资环境。通过加强管理，还可减少因拜祭引起的山火，保护山林。项目建成后，有利于破除丧葬旧俗和封建迷信，树立科学、文明、健康的生活方式，简化丧事，减轻群众办丧负担，提高人们的生活水平和质量。</w:t>
      </w:r>
    </w:p>
    <w:p>
      <w:pPr>
        <w:spacing w:line="579" w:lineRule="exact"/>
        <w:ind w:firstLine="632" w:firstLineChars="200"/>
        <w:outlineLvl w:val="0"/>
        <w:rPr>
          <w:b/>
          <w:bCs/>
        </w:rPr>
      </w:pPr>
      <w:r>
        <w:rPr>
          <w:b/>
          <w:bCs/>
        </w:rPr>
        <w:t>4</w:t>
      </w:r>
      <w:r>
        <w:rPr>
          <w:rFonts w:hint="eastAsia" w:cs="仿宋_GB2312"/>
          <w:b/>
          <w:bCs/>
        </w:rPr>
        <w:t>、其他民政公共服务能力进一步提高</w:t>
      </w:r>
    </w:p>
    <w:p>
      <w:pPr>
        <w:spacing w:line="579" w:lineRule="exact"/>
        <w:ind w:firstLine="632" w:firstLineChars="200"/>
      </w:pPr>
      <w:r>
        <w:rPr>
          <w:rFonts w:hint="eastAsia" w:cs="仿宋_GB2312"/>
        </w:rPr>
        <w:t>其他民政公共服务设施建设</w:t>
      </w:r>
      <w:r>
        <w:t>2019</w:t>
      </w:r>
      <w:r>
        <w:rPr>
          <w:rFonts w:hint="eastAsia" w:cs="仿宋_GB2312"/>
        </w:rPr>
        <w:t>年共安排资金</w:t>
      </w:r>
      <w:r>
        <w:t>340.00</w:t>
      </w:r>
      <w:r>
        <w:rPr>
          <w:rFonts w:hint="eastAsia" w:cs="仿宋_GB2312"/>
        </w:rPr>
        <w:t>万元，其中用于民政统计和财务规范化建设</w:t>
      </w:r>
      <w:r>
        <w:t>300</w:t>
      </w:r>
      <w:r>
        <w:rPr>
          <w:rFonts w:hint="eastAsia" w:cs="仿宋_GB2312"/>
        </w:rPr>
        <w:t>万元、边界界线管理</w:t>
      </w:r>
      <w:r>
        <w:t>40.00</w:t>
      </w:r>
      <w:r>
        <w:rPr>
          <w:rFonts w:hint="eastAsia" w:cs="仿宋_GB2312"/>
        </w:rPr>
        <w:t>万元。各市州民政部门通过聘请第三方专业评价机构，对资金进行审计评价，进一步规范资金使用，提高资金使用效益。通过民政规范化建设，从硬件上配齐民政机构必备的办公设施，从制度上进一步规范管理流程，从人员素养上加强培训学习，达到了提高工作效率和管理水平的效果。</w:t>
      </w:r>
    </w:p>
    <w:p>
      <w:pPr>
        <w:spacing w:line="579" w:lineRule="exact"/>
        <w:ind w:firstLine="632" w:firstLineChars="200"/>
        <w:rPr>
          <w:rFonts w:ascii="黑体" w:hAnsi="黑体" w:eastAsia="黑体"/>
        </w:rPr>
      </w:pPr>
      <w:r>
        <w:rPr>
          <w:rFonts w:hint="eastAsia" w:ascii="黑体" w:hAnsi="黑体" w:eastAsia="黑体" w:cs="黑体"/>
        </w:rPr>
        <w:t>五、主要经验及做法、存在的问题及原因分析</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（一）经验与做法</w:t>
      </w:r>
    </w:p>
    <w:p>
      <w:pPr>
        <w:spacing w:line="579" w:lineRule="exact"/>
        <w:ind w:firstLine="632" w:firstLineChars="200"/>
      </w:pPr>
      <w:r>
        <w:rPr>
          <w:rFonts w:hint="eastAsia" w:cs="仿宋_GB2312"/>
        </w:rPr>
        <w:t>一是创新基本养老服务方式。各市州民政部门采取购买服务方式，与第三方服务机构签定养老服务协议，定期上门服务，取得较好的服务成效。</w:t>
      </w:r>
    </w:p>
    <w:p>
      <w:pPr>
        <w:spacing w:line="579" w:lineRule="exact"/>
        <w:ind w:firstLine="632" w:firstLineChars="200"/>
      </w:pPr>
      <w:r>
        <w:rPr>
          <w:rFonts w:hint="eastAsia" w:cs="仿宋_GB2312"/>
        </w:rPr>
        <w:t>二是规范专项资金管理制度。坚持以制度促规范，各地结合实际制定民政公共服务设施建设具体管理规定，注重资金使用绩效，坚持专款专用，基本形成资金全方位监控的制度体系，确保民政资金惠及民生，实现效益最大化。</w:t>
      </w:r>
    </w:p>
    <w:p>
      <w:pPr>
        <w:spacing w:line="579" w:lineRule="exact"/>
        <w:ind w:firstLine="632" w:firstLineChars="200"/>
      </w:pPr>
      <w:r>
        <w:rPr>
          <w:rFonts w:hint="eastAsia" w:cs="仿宋_GB2312"/>
        </w:rPr>
        <w:t>三是完善项目实施跟踪检查。定期不定期地对项目实施和经费使用情况进行跟踪检查，对实现预期绩效目标的项目予以充分肯定，对进展缓慢、预期绩效目标较差的项目，及时进行督导并提出整改措施，确保项目按计划实施，达到预期绩效目标。</w:t>
      </w:r>
    </w:p>
    <w:p>
      <w:pPr>
        <w:spacing w:line="579" w:lineRule="exact"/>
        <w:ind w:firstLine="632" w:firstLineChars="200"/>
      </w:pPr>
      <w:r>
        <w:rPr>
          <w:rFonts w:hint="eastAsia" w:cs="仿宋_GB2312"/>
        </w:rPr>
        <w:t>四是主动接受社会各界监督。适应资金管理新形势新要求，完善民政资金项目信息公开，及时采集录入资金项目拨付数据，推动使用“互联网</w:t>
      </w:r>
      <w:r>
        <w:t>+</w:t>
      </w:r>
      <w:r>
        <w:rPr>
          <w:rFonts w:hint="eastAsia" w:cs="仿宋_GB2312"/>
        </w:rPr>
        <w:t>监督”平台，通过“线上与线下”有效融合，以公开倒逼资金规范运行。</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（二）存在问题及原因分析</w:t>
      </w:r>
    </w:p>
    <w:p>
      <w:pPr>
        <w:spacing w:line="579" w:lineRule="exact"/>
        <w:ind w:firstLine="632" w:firstLineChars="200"/>
        <w:rPr>
          <w:b/>
          <w:bCs/>
        </w:rPr>
      </w:pPr>
      <w:r>
        <w:rPr>
          <w:b/>
          <w:bCs/>
        </w:rPr>
        <w:t>1</w:t>
      </w:r>
      <w:r>
        <w:rPr>
          <w:rFonts w:hint="eastAsia" w:cs="仿宋_GB2312"/>
          <w:b/>
          <w:bCs/>
        </w:rPr>
        <w:t>、社会养老服务体系建设资金分配散小</w:t>
      </w:r>
    </w:p>
    <w:p>
      <w:pPr>
        <w:spacing w:line="579" w:lineRule="exact"/>
        <w:ind w:firstLine="632" w:firstLineChars="200"/>
      </w:pPr>
      <w:r>
        <w:t>2019</w:t>
      </w:r>
      <w:r>
        <w:rPr>
          <w:rFonts w:hint="eastAsia" w:cs="仿宋_GB2312"/>
        </w:rPr>
        <w:t>年民政公共服务设施建设</w:t>
      </w:r>
      <w:r>
        <w:t>-</w:t>
      </w:r>
      <w:r>
        <w:rPr>
          <w:rFonts w:hint="eastAsia" w:cs="仿宋_GB2312"/>
        </w:rPr>
        <w:t>社会养老服务体系建设专项资金分配至各县市项目</w:t>
      </w:r>
      <w:r>
        <w:t>94</w:t>
      </w:r>
      <w:r>
        <w:rPr>
          <w:rFonts w:hint="eastAsia" w:cs="仿宋_GB2312"/>
        </w:rPr>
        <w:t>个，其中分配金额不超过</w:t>
      </w:r>
      <w:r>
        <w:t>5</w:t>
      </w:r>
      <w:r>
        <w:rPr>
          <w:rFonts w:hint="eastAsia" w:cs="仿宋_GB2312"/>
        </w:rPr>
        <w:t>万元的县市项目有</w:t>
      </w:r>
      <w:r>
        <w:t>14</w:t>
      </w:r>
      <w:r>
        <w:rPr>
          <w:rFonts w:hint="eastAsia" w:cs="仿宋_GB2312"/>
        </w:rPr>
        <w:t>个，占比</w:t>
      </w:r>
      <w:r>
        <w:t>14.89%</w:t>
      </w:r>
      <w:r>
        <w:rPr>
          <w:rFonts w:hint="eastAsia" w:cs="仿宋_GB2312"/>
        </w:rPr>
        <w:t>，个别县市分配资金不足</w:t>
      </w:r>
      <w:r>
        <w:t>3</w:t>
      </w:r>
      <w:r>
        <w:rPr>
          <w:rFonts w:hint="eastAsia" w:cs="仿宋_GB2312"/>
        </w:rPr>
        <w:t>万元，如衡南县分配资金</w:t>
      </w:r>
      <w:r>
        <w:t>1</w:t>
      </w:r>
      <w:r>
        <w:rPr>
          <w:rFonts w:hint="eastAsia" w:cs="仿宋_GB2312"/>
        </w:rPr>
        <w:t>万元，会同县分配资金</w:t>
      </w:r>
      <w:r>
        <w:t>1</w:t>
      </w:r>
      <w:r>
        <w:rPr>
          <w:rFonts w:hint="eastAsia" w:cs="仿宋_GB2312"/>
        </w:rPr>
        <w:t>万元，靖州县分配资金</w:t>
      </w:r>
      <w:r>
        <w:t>2.7</w:t>
      </w:r>
      <w:r>
        <w:rPr>
          <w:rFonts w:hint="eastAsia" w:cs="仿宋_GB2312"/>
        </w:rPr>
        <w:t>万元，分配金额偏小，未能突出补助重点和方向。</w:t>
      </w:r>
    </w:p>
    <w:p>
      <w:pPr>
        <w:spacing w:line="579" w:lineRule="exact"/>
        <w:ind w:firstLine="632" w:firstLineChars="200"/>
        <w:rPr>
          <w:b/>
          <w:bCs/>
        </w:rPr>
      </w:pPr>
      <w:r>
        <w:rPr>
          <w:b/>
          <w:bCs/>
        </w:rPr>
        <w:t>2</w:t>
      </w:r>
      <w:r>
        <w:rPr>
          <w:rFonts w:hint="eastAsia" w:cs="仿宋_GB2312"/>
          <w:b/>
          <w:bCs/>
        </w:rPr>
        <w:t>、地方财政资金拨付时效性有待加强</w:t>
      </w:r>
    </w:p>
    <w:p>
      <w:pPr>
        <w:spacing w:line="579" w:lineRule="exact"/>
        <w:ind w:firstLine="632" w:firstLineChars="200"/>
      </w:pPr>
      <w:r>
        <w:rPr>
          <w:rFonts w:hint="eastAsia" w:cs="仿宋_GB2312"/>
        </w:rPr>
        <w:t>部分省级资金下拨至县市区后，财政部门未及时将资金拨付至项目实施单位，造成部分资金尚未使用，不同程度地影响项目进展。如湘潭市市本级民政统计和财务规范化建设经费</w:t>
      </w:r>
      <w:r>
        <w:t>20</w:t>
      </w:r>
      <w:r>
        <w:rPr>
          <w:rFonts w:hint="eastAsia" w:cs="仿宋_GB2312"/>
        </w:rPr>
        <w:t>万元，市财政于</w:t>
      </w:r>
      <w:r>
        <w:t>2019</w:t>
      </w:r>
      <w:r>
        <w:rPr>
          <w:rFonts w:hint="eastAsia" w:cs="仿宋_GB2312"/>
        </w:rPr>
        <w:t>年</w:t>
      </w:r>
      <w:r>
        <w:t>9</w:t>
      </w:r>
      <w:r>
        <w:rPr>
          <w:rFonts w:hint="eastAsia" w:cs="仿宋_GB2312"/>
        </w:rPr>
        <w:t>月底才下达该资金，全年支出仅</w:t>
      </w:r>
      <w:r>
        <w:t>6.5</w:t>
      </w:r>
      <w:r>
        <w:rPr>
          <w:rFonts w:hint="eastAsia" w:cs="仿宋_GB2312"/>
        </w:rPr>
        <w:t>万元，造成资金结余。</w:t>
      </w:r>
    </w:p>
    <w:p>
      <w:pPr>
        <w:spacing w:line="579" w:lineRule="exact"/>
        <w:ind w:firstLine="632" w:firstLineChars="200"/>
        <w:rPr>
          <w:b/>
          <w:bCs/>
        </w:rPr>
      </w:pPr>
      <w:r>
        <w:rPr>
          <w:b/>
          <w:bCs/>
        </w:rPr>
        <w:t>3</w:t>
      </w:r>
      <w:r>
        <w:rPr>
          <w:rFonts w:hint="eastAsia" w:cs="仿宋_GB2312"/>
          <w:b/>
          <w:bCs/>
        </w:rPr>
        <w:t>、养老服务供需矛盾需要破解</w:t>
      </w:r>
    </w:p>
    <w:p>
      <w:pPr>
        <w:spacing w:line="579" w:lineRule="exact"/>
        <w:ind w:firstLine="632" w:firstLineChars="200"/>
      </w:pPr>
      <w:r>
        <w:rPr>
          <w:rFonts w:hint="eastAsia" w:cs="仿宋_GB2312"/>
        </w:rPr>
        <w:t>尽管各地民政部门每年都通过媒体和基层工作人员做大量养老服务宣传工作，但从总体来看，养老服务政策宣传面还不是很广，群众对政策的知晓程度还不是很高，政策宣传还不够深入，多数人对养老服务的了解还停留在发放补贴上，仍然有不少特困对象不愿意采取集中供养。另一方面，以老年人为主体的消费供给不足，护理型床位占比不高，供需失衡的结构性矛盾需要破解。</w:t>
      </w:r>
    </w:p>
    <w:p>
      <w:pPr>
        <w:spacing w:line="579" w:lineRule="exact"/>
        <w:ind w:firstLine="632" w:firstLineChars="200"/>
        <w:rPr>
          <w:rFonts w:ascii="黑体" w:hAnsi="黑体" w:eastAsia="黑体"/>
        </w:rPr>
      </w:pPr>
      <w:r>
        <w:rPr>
          <w:rFonts w:hint="eastAsia" w:ascii="黑体" w:hAnsi="黑体" w:eastAsia="黑体" w:cs="黑体"/>
        </w:rPr>
        <w:t>六、有关建议</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（一）加大专项资金整合力度</w:t>
      </w:r>
    </w:p>
    <w:p>
      <w:pPr>
        <w:spacing w:line="579" w:lineRule="exact"/>
        <w:ind w:firstLine="632" w:firstLineChars="200"/>
      </w:pPr>
      <w:r>
        <w:rPr>
          <w:rFonts w:hint="eastAsia" w:cs="仿宋_GB2312"/>
        </w:rPr>
        <w:t>加大对民政公共服务设施建设专项资金的投入力度，对于社会养老服务体系建设项目中分配金额</w:t>
      </w:r>
      <w:r>
        <w:t>5</w:t>
      </w:r>
      <w:r>
        <w:rPr>
          <w:rFonts w:hint="eastAsia" w:cs="仿宋_GB2312"/>
        </w:rPr>
        <w:t>万元以下的项目，主管部门要予以整合，避免出现“撒胡椒面”的现象。</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（二）加快专项资金拨付进度</w:t>
      </w:r>
    </w:p>
    <w:p>
      <w:pPr>
        <w:spacing w:line="579" w:lineRule="exact"/>
        <w:ind w:firstLine="632" w:firstLineChars="200"/>
      </w:pPr>
      <w:r>
        <w:rPr>
          <w:rFonts w:hint="eastAsia" w:cs="仿宋_GB2312"/>
        </w:rPr>
        <w:t>强化主体意识，切实担负起项目建设进度推进与监管责任，在确保项目正常实施的前提下，积极与财政沟通对接，加快专项资金拨付进度，确保按时限要求完成支出，切实发挥专项资金的引导作用。</w:t>
      </w:r>
    </w:p>
    <w:p>
      <w:pPr>
        <w:spacing w:line="579" w:lineRule="exact"/>
        <w:ind w:firstLine="632" w:firstLineChars="200"/>
        <w:rPr>
          <w:rFonts w:ascii="方正楷体简体" w:eastAsia="方正楷体简体"/>
          <w:b/>
          <w:bCs/>
        </w:rPr>
      </w:pPr>
      <w:r>
        <w:rPr>
          <w:rFonts w:hint="eastAsia" w:ascii="方正楷体简体" w:eastAsia="方正楷体简体" w:cs="方正楷体简体"/>
          <w:b/>
          <w:bCs/>
        </w:rPr>
        <w:t>（三）持续创新养老服务形式</w:t>
      </w:r>
    </w:p>
    <w:p>
      <w:pPr>
        <w:spacing w:line="579" w:lineRule="exact"/>
        <w:ind w:firstLine="632" w:firstLineChars="200"/>
      </w:pPr>
      <w:r>
        <w:rPr>
          <w:rFonts w:hint="eastAsia" w:cs="仿宋_GB2312"/>
        </w:rPr>
        <w:t>充分整合社会资源，加强与专业服务和志愿者的合作，壮大服务队伍，拓展服务项目，提高服务能力。探索养老服务形式多样化，通过居家养老服务平台，依托日间照料中心和社区养老服务示范点等，为广大老人提供多层次、个性化的养老服务。</w:t>
      </w:r>
    </w:p>
    <w:p>
      <w:pPr>
        <w:spacing w:line="579" w:lineRule="exact"/>
        <w:ind w:firstLine="632" w:firstLineChars="200"/>
        <w:rPr>
          <w:color w:val="0C0C0C"/>
          <w:spacing w:val="-10"/>
          <w:kern w:val="0"/>
        </w:rPr>
      </w:pPr>
      <w:r>
        <w:rPr>
          <w:rFonts w:hint="eastAsia" w:cs="仿宋_GB2312"/>
          <w:color w:val="0C0C0C"/>
          <w:kern w:val="0"/>
        </w:rPr>
        <w:t>附件</w:t>
      </w:r>
      <w:r>
        <w:rPr>
          <w:color w:val="0C0C0C"/>
          <w:spacing w:val="-10"/>
          <w:kern w:val="0"/>
        </w:rPr>
        <w:t>1</w:t>
      </w:r>
      <w:r>
        <w:rPr>
          <w:rFonts w:hint="eastAsia" w:cs="仿宋_GB2312"/>
          <w:color w:val="0C0C0C"/>
          <w:spacing w:val="-10"/>
          <w:kern w:val="0"/>
        </w:rPr>
        <w:t>．</w:t>
      </w:r>
      <w:r>
        <w:rPr>
          <w:color w:val="0C0C0C"/>
          <w:spacing w:val="-10"/>
          <w:kern w:val="0"/>
        </w:rPr>
        <w:t>2019</w:t>
      </w:r>
      <w:r>
        <w:rPr>
          <w:rFonts w:hint="eastAsia" w:cs="仿宋_GB2312"/>
          <w:color w:val="0C0C0C"/>
          <w:spacing w:val="-10"/>
          <w:kern w:val="0"/>
        </w:rPr>
        <w:t>年民政公共服务设施建设项目支出绩效评价指标表</w:t>
      </w:r>
    </w:p>
    <w:p>
      <w:pPr>
        <w:spacing w:line="579" w:lineRule="exact"/>
        <w:ind w:firstLine="1355" w:firstLineChars="429"/>
        <w:rPr>
          <w:rFonts w:hint="eastAsia" w:cs="仿宋_GB2312"/>
          <w:color w:val="0C0C0C"/>
          <w:kern w:val="0"/>
        </w:rPr>
      </w:pPr>
      <w:r>
        <w:rPr>
          <w:color w:val="0C0C0C"/>
          <w:kern w:val="0"/>
        </w:rPr>
        <w:t>2</w:t>
      </w:r>
      <w:r>
        <w:rPr>
          <w:rFonts w:hint="eastAsia" w:cs="仿宋_GB2312"/>
          <w:color w:val="0C0C0C"/>
          <w:kern w:val="0"/>
        </w:rPr>
        <w:t>．</w:t>
      </w:r>
      <w:r>
        <w:rPr>
          <w:color w:val="0C0C0C"/>
          <w:kern w:val="0"/>
        </w:rPr>
        <w:t>2019</w:t>
      </w:r>
      <w:r>
        <w:rPr>
          <w:rFonts w:hint="eastAsia" w:cs="仿宋_GB2312"/>
          <w:color w:val="0C0C0C"/>
          <w:kern w:val="0"/>
        </w:rPr>
        <w:t>年度民政公共服务设施建设支出绩效自评表</w:t>
      </w:r>
    </w:p>
    <w:p>
      <w:pPr>
        <w:spacing w:line="579" w:lineRule="exact"/>
        <w:ind w:firstLine="1355" w:firstLineChars="429"/>
        <w:rPr>
          <w:rFonts w:hint="eastAsia" w:cs="仿宋_GB2312"/>
          <w:color w:val="0C0C0C"/>
          <w:kern w:val="0"/>
        </w:rPr>
      </w:pPr>
    </w:p>
    <w:p>
      <w:pPr>
        <w:spacing w:line="579" w:lineRule="exact"/>
        <w:ind w:firstLine="632" w:firstLineChars="200"/>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 xml:space="preserve"> </w:t>
      </w:r>
      <w:r>
        <w:rPr>
          <w:rFonts w:hint="eastAsia"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eastAsia="zh-CN"/>
        </w:rPr>
        <w:t>湖南省民政厅</w:t>
      </w:r>
    </w:p>
    <w:p>
      <w:pPr>
        <w:spacing w:line="579" w:lineRule="exact"/>
        <w:ind w:firstLine="632" w:firstLineChars="20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2020年6月11日</w:t>
      </w:r>
    </w:p>
    <w:p>
      <w:pPr>
        <w:spacing w:line="579" w:lineRule="exact"/>
        <w:ind w:firstLine="1355" w:firstLineChars="429"/>
        <w:rPr>
          <w:rFonts w:hint="eastAsia" w:cs="仿宋_GB2312"/>
          <w:color w:val="0C0C0C"/>
          <w:kern w:val="0"/>
        </w:rPr>
      </w:pPr>
    </w:p>
    <w:p>
      <w:pPr>
        <w:spacing w:line="580" w:lineRule="exact"/>
        <w:rPr>
          <w:rFonts w:ascii="黑体" w:eastAsia="黑体" w:cs="黑体"/>
        </w:rPr>
      </w:pPr>
      <w:r>
        <w:rPr>
          <w:rFonts w:ascii="黑体" w:eastAsia="黑体"/>
        </w:rPr>
        <w:br w:type="page"/>
      </w:r>
      <w:r>
        <w:rPr>
          <w:rFonts w:hint="eastAsia" w:ascii="黑体" w:eastAsia="黑体" w:cs="黑体"/>
        </w:rPr>
        <w:t>附件</w:t>
      </w:r>
      <w:r>
        <w:rPr>
          <w:rFonts w:ascii="黑体" w:eastAsia="黑体" w:cs="黑体"/>
        </w:rPr>
        <w:t>1</w:t>
      </w:r>
    </w:p>
    <w:p>
      <w:pPr>
        <w:spacing w:before="160" w:after="160" w:line="560" w:lineRule="exact"/>
        <w:jc w:val="center"/>
        <w:rPr>
          <w:rFonts w:ascii="方正小标宋简体" w:eastAsia="方正小标宋简体"/>
          <w:sz w:val="44"/>
          <w:szCs w:val="44"/>
        </w:rPr>
      </w:pPr>
      <w:r>
        <w:rPr>
          <w:rFonts w:ascii="方正小标宋简体" w:eastAsia="方正小标宋简体" w:cs="方正小标宋简体"/>
          <w:sz w:val="44"/>
          <w:szCs w:val="44"/>
        </w:rPr>
        <w:t>2019</w:t>
      </w:r>
      <w:r>
        <w:rPr>
          <w:rFonts w:hint="eastAsia" w:ascii="方正小标宋简体" w:eastAsia="方正小标宋简体" w:cs="方正小标宋简体"/>
          <w:sz w:val="44"/>
          <w:szCs w:val="44"/>
        </w:rPr>
        <w:t>年民政公共服务设施建设项目支出</w:t>
      </w:r>
    </w:p>
    <w:p>
      <w:pPr>
        <w:spacing w:before="160" w:after="160" w:line="56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绩效评价指标表</w:t>
      </w:r>
    </w:p>
    <w:tbl>
      <w:tblPr>
        <w:tblStyle w:val="6"/>
        <w:tblW w:w="5128" w:type="pct"/>
        <w:tblInd w:w="2" w:type="dxa"/>
        <w:tblLayout w:type="autofit"/>
        <w:tblCellMar>
          <w:top w:w="0" w:type="dxa"/>
          <w:left w:w="0" w:type="dxa"/>
          <w:bottom w:w="0" w:type="dxa"/>
          <w:right w:w="0" w:type="dxa"/>
        </w:tblCellMar>
      </w:tblPr>
      <w:tblGrid>
        <w:gridCol w:w="573"/>
        <w:gridCol w:w="559"/>
        <w:gridCol w:w="1038"/>
        <w:gridCol w:w="597"/>
        <w:gridCol w:w="1607"/>
        <w:gridCol w:w="4220"/>
        <w:gridCol w:w="508"/>
      </w:tblGrid>
      <w:tr>
        <w:tblPrEx>
          <w:tblCellMar>
            <w:top w:w="0" w:type="dxa"/>
            <w:left w:w="0" w:type="dxa"/>
            <w:bottom w:w="0" w:type="dxa"/>
            <w:right w:w="0" w:type="dxa"/>
          </w:tblCellMar>
        </w:tblPrEx>
        <w:trPr>
          <w:trHeight w:val="270" w:hRule="atLeast"/>
          <w:tblHeader/>
        </w:trPr>
        <w:tc>
          <w:tcPr>
            <w:tcW w:w="31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一级指标</w:t>
            </w:r>
          </w:p>
        </w:tc>
        <w:tc>
          <w:tcPr>
            <w:tcW w:w="3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二级指标</w:t>
            </w: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三级指标</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分数</w:t>
            </w:r>
          </w:p>
        </w:tc>
        <w:tc>
          <w:tcPr>
            <w:tcW w:w="8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指标解释</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指标说明</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得分</w:t>
            </w:r>
          </w:p>
        </w:tc>
      </w:tr>
      <w:tr>
        <w:tblPrEx>
          <w:tblCellMar>
            <w:top w:w="0" w:type="dxa"/>
            <w:left w:w="0" w:type="dxa"/>
            <w:bottom w:w="0" w:type="dxa"/>
            <w:right w:w="0" w:type="dxa"/>
          </w:tblCellMar>
        </w:tblPrEx>
        <w:trPr>
          <w:trHeight w:val="270" w:hRule="atLeast"/>
        </w:trPr>
        <w:tc>
          <w:tcPr>
            <w:tcW w:w="31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决策　</w:t>
            </w: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项目立项　</w:t>
            </w: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立项依据</w:t>
            </w:r>
            <w:r>
              <w:rPr>
                <w:rFonts w:eastAsia="宋体"/>
                <w:kern w:val="0"/>
                <w:sz w:val="21"/>
                <w:szCs w:val="21"/>
              </w:rPr>
              <w:br w:type="textWrapping"/>
            </w:r>
            <w:r>
              <w:rPr>
                <w:rFonts w:hint="eastAsia" w:hAnsi="宋体" w:eastAsia="宋体" w:cs="宋体"/>
                <w:kern w:val="0"/>
                <w:sz w:val="21"/>
                <w:szCs w:val="21"/>
              </w:rPr>
              <w:t>充分性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项目立项是否符合法律法规、相关政策、发展规划以及部门职责，用以反映和考核项目立项依据情况。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项目立项是否符合国家法律法规、国民经济发展规划和相关政策；</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项目立项是否符合行业发展规划和政策要求；</w:t>
            </w:r>
            <w:r>
              <w:rPr>
                <w:rFonts w:eastAsia="宋体"/>
                <w:kern w:val="0"/>
                <w:sz w:val="21"/>
                <w:szCs w:val="21"/>
              </w:rPr>
              <w:br w:type="textWrapping"/>
            </w:r>
            <w:r>
              <w:rPr>
                <w:rFonts w:ascii="宋体" w:hAnsi="宋体" w:eastAsia="宋体"/>
                <w:kern w:val="0"/>
                <w:sz w:val="21"/>
                <w:szCs w:val="21"/>
              </w:rPr>
              <w:t>③</w:t>
            </w:r>
            <w:r>
              <w:rPr>
                <w:rFonts w:hint="eastAsia" w:hAnsi="宋体" w:eastAsia="宋体" w:cs="宋体"/>
                <w:kern w:val="0"/>
                <w:sz w:val="21"/>
                <w:szCs w:val="21"/>
              </w:rPr>
              <w:t>项目立项是否与部门职责范围相符，属于部门履职所需；</w:t>
            </w:r>
            <w:r>
              <w:rPr>
                <w:rFonts w:eastAsia="宋体"/>
                <w:kern w:val="0"/>
                <w:sz w:val="21"/>
                <w:szCs w:val="21"/>
              </w:rPr>
              <w:br w:type="textWrapping"/>
            </w:r>
            <w:r>
              <w:rPr>
                <w:rFonts w:ascii="宋体" w:hAnsi="宋体" w:eastAsia="宋体"/>
                <w:kern w:val="0"/>
                <w:sz w:val="21"/>
                <w:szCs w:val="21"/>
              </w:rPr>
              <w:t>④</w:t>
            </w:r>
            <w:r>
              <w:rPr>
                <w:rFonts w:hint="eastAsia" w:hAnsi="宋体" w:eastAsia="宋体" w:cs="宋体"/>
                <w:kern w:val="0"/>
                <w:sz w:val="21"/>
                <w:szCs w:val="21"/>
              </w:rPr>
              <w:t>项目是否属于公共财政支持范围，是否符合中央、地方事权支出责任划分原则；</w:t>
            </w:r>
            <w:r>
              <w:rPr>
                <w:rFonts w:eastAsia="宋体"/>
                <w:kern w:val="0"/>
                <w:sz w:val="21"/>
                <w:szCs w:val="21"/>
              </w:rPr>
              <w:br w:type="textWrapping"/>
            </w:r>
            <w:r>
              <w:rPr>
                <w:rFonts w:ascii="宋体" w:hAnsi="宋体" w:eastAsia="宋体"/>
                <w:kern w:val="0"/>
                <w:sz w:val="21"/>
                <w:szCs w:val="21"/>
              </w:rPr>
              <w:t>⑤</w:t>
            </w:r>
            <w:r>
              <w:rPr>
                <w:rFonts w:hint="eastAsia" w:hAnsi="宋体" w:eastAsia="宋体" w:cs="宋体"/>
                <w:kern w:val="0"/>
                <w:sz w:val="21"/>
                <w:szCs w:val="21"/>
              </w:rPr>
              <w:t>项目是否与相关部门同类项目或部门内部相关项目重复。</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123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立项程序</w:t>
            </w:r>
            <w:r>
              <w:rPr>
                <w:rFonts w:eastAsia="宋体"/>
                <w:kern w:val="0"/>
                <w:sz w:val="21"/>
                <w:szCs w:val="21"/>
              </w:rPr>
              <w:br w:type="textWrapping"/>
            </w:r>
            <w:r>
              <w:rPr>
                <w:rFonts w:hint="eastAsia" w:hAnsi="宋体" w:eastAsia="宋体" w:cs="宋体"/>
                <w:kern w:val="0"/>
                <w:sz w:val="21"/>
                <w:szCs w:val="21"/>
              </w:rPr>
              <w:t>规范性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项目申请、设立过程是否符合相关要求，用以反映和考核项目立项的规范情况。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项目是否按照规定的程序申请设立；</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审批文件、材料是否符合相关要求；</w:t>
            </w:r>
            <w:r>
              <w:rPr>
                <w:rFonts w:eastAsia="宋体"/>
                <w:kern w:val="0"/>
                <w:sz w:val="21"/>
                <w:szCs w:val="21"/>
              </w:rPr>
              <w:br w:type="textWrapping"/>
            </w:r>
            <w:r>
              <w:rPr>
                <w:rFonts w:ascii="宋体" w:hAnsi="宋体" w:eastAsia="宋体"/>
                <w:kern w:val="0"/>
                <w:sz w:val="21"/>
                <w:szCs w:val="21"/>
              </w:rPr>
              <w:t>③</w:t>
            </w:r>
            <w:r>
              <w:rPr>
                <w:rFonts w:hint="eastAsia" w:hAnsi="宋体" w:eastAsia="宋体" w:cs="宋体"/>
                <w:kern w:val="0"/>
                <w:sz w:val="21"/>
                <w:szCs w:val="21"/>
              </w:rPr>
              <w:t>事前是否已经过必要的可行性研究、专家论证、风险评估、绩效评估、集体决策。</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406"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绩效目标　</w:t>
            </w: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绩效目标</w:t>
            </w:r>
            <w:r>
              <w:rPr>
                <w:rFonts w:eastAsia="宋体"/>
                <w:kern w:val="0"/>
                <w:sz w:val="21"/>
                <w:szCs w:val="21"/>
              </w:rPr>
              <w:br w:type="textWrapping"/>
            </w:r>
            <w:r>
              <w:rPr>
                <w:rFonts w:hint="eastAsia" w:hAnsi="宋体" w:eastAsia="宋体" w:cs="宋体"/>
                <w:kern w:val="0"/>
                <w:sz w:val="21"/>
                <w:szCs w:val="21"/>
              </w:rPr>
              <w:t>合理性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项目所设定的绩效目标是否依据充分，是否符合客观实际，用以反映和考核项目绩效目标与项目实施的相符情况。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hint="eastAsia" w:hAnsi="宋体" w:eastAsia="宋体" w:cs="宋体"/>
                <w:kern w:val="0"/>
                <w:sz w:val="21"/>
                <w:szCs w:val="21"/>
              </w:rPr>
              <w:t>（如未设定预算绩效目标，也可考核其他工作任务目标）</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项目是否有绩效目标；</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项目绩效目标与实际工作内容是否具有相关性；</w:t>
            </w:r>
            <w:r>
              <w:rPr>
                <w:rFonts w:eastAsia="宋体"/>
                <w:kern w:val="0"/>
                <w:sz w:val="21"/>
                <w:szCs w:val="21"/>
              </w:rPr>
              <w:br w:type="textWrapping"/>
            </w:r>
            <w:r>
              <w:rPr>
                <w:rFonts w:ascii="宋体" w:hAnsi="宋体" w:eastAsia="宋体"/>
                <w:kern w:val="0"/>
                <w:sz w:val="21"/>
                <w:szCs w:val="21"/>
              </w:rPr>
              <w:t>③</w:t>
            </w:r>
            <w:r>
              <w:rPr>
                <w:rFonts w:hint="eastAsia" w:hAnsi="宋体" w:eastAsia="宋体" w:cs="宋体"/>
                <w:kern w:val="0"/>
                <w:sz w:val="21"/>
                <w:szCs w:val="21"/>
              </w:rPr>
              <w:t>项目预期产出效益和效果是否符合正常的业绩水平；</w:t>
            </w:r>
            <w:r>
              <w:rPr>
                <w:rFonts w:eastAsia="宋体"/>
                <w:kern w:val="0"/>
                <w:sz w:val="21"/>
                <w:szCs w:val="21"/>
              </w:rPr>
              <w:br w:type="textWrapping"/>
            </w:r>
            <w:r>
              <w:rPr>
                <w:rFonts w:ascii="宋体" w:hAnsi="宋体" w:eastAsia="宋体"/>
                <w:kern w:val="0"/>
                <w:sz w:val="21"/>
                <w:szCs w:val="21"/>
              </w:rPr>
              <w:t>④</w:t>
            </w:r>
            <w:r>
              <w:rPr>
                <w:rFonts w:hint="eastAsia" w:hAnsi="宋体" w:eastAsia="宋体" w:cs="宋体"/>
                <w:kern w:val="0"/>
                <w:sz w:val="21"/>
                <w:szCs w:val="21"/>
              </w:rPr>
              <w:t>是否与预算确定的项目投资额或资金量相匹配。</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绩效指标</w:t>
            </w:r>
            <w:r>
              <w:rPr>
                <w:rFonts w:eastAsia="宋体"/>
                <w:kern w:val="0"/>
                <w:sz w:val="21"/>
                <w:szCs w:val="21"/>
              </w:rPr>
              <w:br w:type="textWrapping"/>
            </w:r>
            <w:r>
              <w:rPr>
                <w:rFonts w:hint="eastAsia" w:hAnsi="宋体" w:eastAsia="宋体" w:cs="宋体"/>
                <w:kern w:val="0"/>
                <w:sz w:val="21"/>
                <w:szCs w:val="21"/>
              </w:rPr>
              <w:t>明确性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依据绩效目标设定的绩效指标是否清晰、细化、可衡量等，用以反映和考核项目绩效目标的明细化情况。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是否将项目绩效目标细化分解为具体的绩效指标；</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是否通过清晰、可衡量的指标值予以体现；</w:t>
            </w:r>
            <w:r>
              <w:rPr>
                <w:rFonts w:eastAsia="宋体"/>
                <w:kern w:val="0"/>
                <w:sz w:val="21"/>
                <w:szCs w:val="21"/>
              </w:rPr>
              <w:br w:type="textWrapping"/>
            </w:r>
            <w:r>
              <w:rPr>
                <w:rFonts w:ascii="宋体" w:hAnsi="宋体" w:eastAsia="宋体"/>
                <w:kern w:val="0"/>
                <w:sz w:val="21"/>
                <w:szCs w:val="21"/>
              </w:rPr>
              <w:t>③</w:t>
            </w:r>
            <w:r>
              <w:rPr>
                <w:rFonts w:hint="eastAsia" w:hAnsi="宋体" w:eastAsia="宋体" w:cs="宋体"/>
                <w:kern w:val="0"/>
                <w:sz w:val="21"/>
                <w:szCs w:val="21"/>
              </w:rPr>
              <w:t>是否与项目目标任务数或计划数相对应。</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727"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资金投入</w:t>
            </w: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预算编制</w:t>
            </w:r>
            <w:r>
              <w:rPr>
                <w:rFonts w:eastAsia="宋体"/>
                <w:kern w:val="0"/>
                <w:sz w:val="21"/>
                <w:szCs w:val="21"/>
              </w:rPr>
              <w:br w:type="textWrapping"/>
            </w:r>
            <w:r>
              <w:rPr>
                <w:rFonts w:hint="eastAsia" w:hAnsi="宋体" w:eastAsia="宋体" w:cs="宋体"/>
                <w:kern w:val="0"/>
                <w:sz w:val="21"/>
                <w:szCs w:val="21"/>
              </w:rPr>
              <w:t>科学性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项目预算编制是否经过科学论证、有明确标准，资金额度与年度目标是否相适应，用以反映和考核项目预算编制的科学性、合理性情况。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预算编制是否经过科学论证；</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预算内容与项目内容是否匹配；</w:t>
            </w:r>
            <w:r>
              <w:rPr>
                <w:rFonts w:eastAsia="宋体"/>
                <w:kern w:val="0"/>
                <w:sz w:val="21"/>
                <w:szCs w:val="21"/>
              </w:rPr>
              <w:br w:type="textWrapping"/>
            </w:r>
            <w:r>
              <w:rPr>
                <w:rFonts w:ascii="宋体" w:hAnsi="宋体" w:eastAsia="宋体"/>
                <w:kern w:val="0"/>
                <w:sz w:val="21"/>
                <w:szCs w:val="21"/>
              </w:rPr>
              <w:t>③</w:t>
            </w:r>
            <w:r>
              <w:rPr>
                <w:rFonts w:hint="eastAsia" w:hAnsi="宋体" w:eastAsia="宋体" w:cs="宋体"/>
                <w:kern w:val="0"/>
                <w:sz w:val="21"/>
                <w:szCs w:val="21"/>
              </w:rPr>
              <w:t>预算额度测算依据是否充分，是否按照标准编制；</w:t>
            </w:r>
            <w:r>
              <w:rPr>
                <w:rFonts w:eastAsia="宋体"/>
                <w:kern w:val="0"/>
                <w:sz w:val="21"/>
                <w:szCs w:val="21"/>
              </w:rPr>
              <w:br w:type="textWrapping"/>
            </w:r>
            <w:r>
              <w:rPr>
                <w:rFonts w:ascii="宋体" w:hAnsi="宋体" w:eastAsia="宋体"/>
                <w:kern w:val="0"/>
                <w:sz w:val="21"/>
                <w:szCs w:val="21"/>
              </w:rPr>
              <w:t>④</w:t>
            </w:r>
            <w:r>
              <w:rPr>
                <w:rFonts w:hint="eastAsia" w:hAnsi="宋体" w:eastAsia="宋体" w:cs="宋体"/>
                <w:kern w:val="0"/>
                <w:sz w:val="21"/>
                <w:szCs w:val="21"/>
              </w:rPr>
              <w:t>预算确定的项目投资额或资金量是否与工作任务相匹配。</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资金分配</w:t>
            </w:r>
            <w:r>
              <w:rPr>
                <w:rFonts w:eastAsia="宋体"/>
                <w:kern w:val="0"/>
                <w:sz w:val="21"/>
                <w:szCs w:val="21"/>
              </w:rPr>
              <w:br w:type="textWrapping"/>
            </w:r>
            <w:r>
              <w:rPr>
                <w:rFonts w:hint="eastAsia" w:hAnsi="宋体" w:eastAsia="宋体" w:cs="宋体"/>
                <w:kern w:val="0"/>
                <w:sz w:val="21"/>
                <w:szCs w:val="21"/>
              </w:rPr>
              <w:t>合理性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项目预算资金分配是否有测算依据，与补助单位或地方实际是否相适应，用以反映和考核项目预算资金分配的科学性、合理性情况。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预算资金分配依据是否充分；</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资金分配额度是否合理，与项目单位或地方实际是否相适应。</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过程</w:t>
            </w: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资金管理</w:t>
            </w:r>
            <w:r>
              <w:rPr>
                <w:rFonts w:eastAsia="宋体"/>
                <w:kern w:val="0"/>
                <w:sz w:val="21"/>
                <w:szCs w:val="21"/>
              </w:rPr>
              <w:br w:type="textWrapping"/>
            </w:r>
            <w:r>
              <w:rPr>
                <w:rFonts w:hint="eastAsia" w:hAnsi="宋体" w:eastAsia="宋体" w:cs="宋体"/>
                <w:kern w:val="0"/>
                <w:sz w:val="21"/>
                <w:szCs w:val="21"/>
              </w:rPr>
              <w:t>资金管理</w:t>
            </w: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资金到位率</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实际到位资金与预算资金的比率，用以反映和考核资金落实情况对项目实施的总体保障程度。</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资金到位率</w:t>
            </w:r>
            <w:r>
              <w:rPr>
                <w:rFonts w:eastAsia="宋体"/>
                <w:kern w:val="0"/>
                <w:sz w:val="21"/>
                <w:szCs w:val="21"/>
              </w:rPr>
              <w:t>=</w:t>
            </w:r>
            <w:r>
              <w:rPr>
                <w:rFonts w:hint="eastAsia" w:hAnsi="宋体" w:eastAsia="宋体" w:cs="宋体"/>
                <w:kern w:val="0"/>
                <w:sz w:val="21"/>
                <w:szCs w:val="21"/>
              </w:rPr>
              <w:t>（实际到位资金</w:t>
            </w:r>
            <w:r>
              <w:rPr>
                <w:rFonts w:eastAsia="宋体"/>
                <w:kern w:val="0"/>
                <w:sz w:val="21"/>
                <w:szCs w:val="21"/>
              </w:rPr>
              <w:t>/</w:t>
            </w:r>
            <w:r>
              <w:rPr>
                <w:rFonts w:hint="eastAsia" w:hAnsi="宋体" w:eastAsia="宋体" w:cs="宋体"/>
                <w:kern w:val="0"/>
                <w:sz w:val="21"/>
                <w:szCs w:val="21"/>
              </w:rPr>
              <w:t>预算资金）</w:t>
            </w:r>
            <w:r>
              <w:rPr>
                <w:rFonts w:eastAsia="宋体"/>
                <w:kern w:val="0"/>
                <w:sz w:val="21"/>
                <w:szCs w:val="21"/>
              </w:rPr>
              <w:t>×100%</w:t>
            </w:r>
            <w:r>
              <w:rPr>
                <w:rFonts w:hint="eastAsia" w:hAnsi="宋体" w:eastAsia="宋体" w:cs="宋体"/>
                <w:kern w:val="0"/>
                <w:sz w:val="21"/>
                <w:szCs w:val="21"/>
              </w:rPr>
              <w:t>。</w:t>
            </w:r>
            <w:r>
              <w:rPr>
                <w:rFonts w:eastAsia="宋体"/>
                <w:kern w:val="0"/>
                <w:sz w:val="21"/>
                <w:szCs w:val="21"/>
              </w:rPr>
              <w:br w:type="textWrapping"/>
            </w:r>
            <w:r>
              <w:rPr>
                <w:rFonts w:hint="eastAsia" w:hAnsi="宋体" w:eastAsia="宋体" w:cs="宋体"/>
                <w:kern w:val="0"/>
                <w:sz w:val="21"/>
                <w:szCs w:val="21"/>
              </w:rPr>
              <w:t>实际到位资金：一定时期（本年度或项目期）内落实到具体项目的资金。</w:t>
            </w:r>
            <w:r>
              <w:rPr>
                <w:rFonts w:eastAsia="宋体"/>
                <w:kern w:val="0"/>
                <w:sz w:val="21"/>
                <w:szCs w:val="21"/>
              </w:rPr>
              <w:br w:type="textWrapping"/>
            </w:r>
            <w:r>
              <w:rPr>
                <w:rFonts w:hint="eastAsia" w:hAnsi="宋体" w:eastAsia="宋体" w:cs="宋体"/>
                <w:kern w:val="0"/>
                <w:sz w:val="21"/>
                <w:szCs w:val="21"/>
              </w:rPr>
              <w:t>预算资金：一定时期（本年度或项目期）内预算安排到具体项目的资金。</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预算执行率</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项目预算资金是否按照计划执行，用以反映或考核项目预算执行情况。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预算执行率</w:t>
            </w:r>
            <w:r>
              <w:rPr>
                <w:rFonts w:eastAsia="宋体"/>
                <w:kern w:val="0"/>
                <w:sz w:val="21"/>
                <w:szCs w:val="21"/>
              </w:rPr>
              <w:t>=</w:t>
            </w:r>
            <w:r>
              <w:rPr>
                <w:rFonts w:hint="eastAsia" w:hAnsi="宋体" w:eastAsia="宋体" w:cs="宋体"/>
                <w:kern w:val="0"/>
                <w:sz w:val="21"/>
                <w:szCs w:val="21"/>
              </w:rPr>
              <w:t>（实际支出资金</w:t>
            </w:r>
            <w:r>
              <w:rPr>
                <w:rFonts w:eastAsia="宋体"/>
                <w:kern w:val="0"/>
                <w:sz w:val="21"/>
                <w:szCs w:val="21"/>
              </w:rPr>
              <w:t>/</w:t>
            </w:r>
            <w:r>
              <w:rPr>
                <w:rFonts w:hint="eastAsia" w:hAnsi="宋体" w:eastAsia="宋体" w:cs="宋体"/>
                <w:kern w:val="0"/>
                <w:sz w:val="21"/>
                <w:szCs w:val="21"/>
              </w:rPr>
              <w:t>实际到位资金）</w:t>
            </w:r>
            <w:r>
              <w:rPr>
                <w:rFonts w:eastAsia="宋体"/>
                <w:kern w:val="0"/>
                <w:sz w:val="21"/>
                <w:szCs w:val="21"/>
              </w:rPr>
              <w:t>×100%</w:t>
            </w:r>
            <w:r>
              <w:rPr>
                <w:rFonts w:hint="eastAsia" w:hAnsi="宋体" w:eastAsia="宋体" w:cs="宋体"/>
                <w:kern w:val="0"/>
                <w:sz w:val="21"/>
                <w:szCs w:val="21"/>
              </w:rPr>
              <w:t>。</w:t>
            </w:r>
            <w:r>
              <w:rPr>
                <w:rFonts w:eastAsia="宋体"/>
                <w:kern w:val="0"/>
                <w:sz w:val="21"/>
                <w:szCs w:val="21"/>
              </w:rPr>
              <w:br w:type="textWrapping"/>
            </w:r>
            <w:r>
              <w:rPr>
                <w:rFonts w:hint="eastAsia" w:hAnsi="宋体" w:eastAsia="宋体" w:cs="宋体"/>
                <w:kern w:val="0"/>
                <w:sz w:val="21"/>
                <w:szCs w:val="21"/>
              </w:rPr>
              <w:t>实际支出资金：一定时期（本年度或项目期）内项目实际拨付的资金。</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5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资金使用</w:t>
            </w:r>
            <w:r>
              <w:rPr>
                <w:rFonts w:eastAsia="宋体"/>
                <w:kern w:val="0"/>
                <w:sz w:val="21"/>
                <w:szCs w:val="21"/>
              </w:rPr>
              <w:br w:type="textWrapping"/>
            </w:r>
            <w:r>
              <w:rPr>
                <w:rFonts w:hint="eastAsia" w:hAnsi="宋体" w:eastAsia="宋体" w:cs="宋体"/>
                <w:kern w:val="0"/>
                <w:sz w:val="21"/>
                <w:szCs w:val="21"/>
              </w:rPr>
              <w:t>合规性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项目资金使用是否符合相关的财务管理制度规定，用以反映和考核项目资金的规范运行情况。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是否符合国家财经法规和财务管理制度以及有关专项资金管理办法的规定；</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资金的拨付是否有完整的审批程序和手续；</w:t>
            </w:r>
            <w:r>
              <w:rPr>
                <w:rFonts w:eastAsia="宋体"/>
                <w:kern w:val="0"/>
                <w:sz w:val="21"/>
                <w:szCs w:val="21"/>
              </w:rPr>
              <w:br w:type="textWrapping"/>
            </w:r>
            <w:r>
              <w:rPr>
                <w:rFonts w:ascii="宋体" w:hAnsi="宋体" w:eastAsia="宋体"/>
                <w:kern w:val="0"/>
                <w:sz w:val="21"/>
                <w:szCs w:val="21"/>
              </w:rPr>
              <w:t>③</w:t>
            </w:r>
            <w:r>
              <w:rPr>
                <w:rFonts w:hint="eastAsia" w:hAnsi="宋体" w:eastAsia="宋体" w:cs="宋体"/>
                <w:kern w:val="0"/>
                <w:sz w:val="21"/>
                <w:szCs w:val="21"/>
              </w:rPr>
              <w:t>是否符合项目预算批复或合同规定的用途；</w:t>
            </w:r>
            <w:r>
              <w:rPr>
                <w:rFonts w:eastAsia="宋体"/>
                <w:kern w:val="0"/>
                <w:sz w:val="21"/>
                <w:szCs w:val="21"/>
              </w:rPr>
              <w:br w:type="textWrapping"/>
            </w:r>
            <w:r>
              <w:rPr>
                <w:rFonts w:ascii="宋体" w:hAnsi="宋体" w:eastAsia="宋体"/>
                <w:kern w:val="0"/>
                <w:sz w:val="21"/>
                <w:szCs w:val="21"/>
              </w:rPr>
              <w:t>④</w:t>
            </w:r>
            <w:r>
              <w:rPr>
                <w:rFonts w:hint="eastAsia" w:hAnsi="宋体" w:eastAsia="宋体" w:cs="宋体"/>
                <w:kern w:val="0"/>
                <w:sz w:val="21"/>
                <w:szCs w:val="21"/>
              </w:rPr>
              <w:t>是否存在截留、挤占、挪用、虚列支出等情况。</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5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组织实施</w:t>
            </w: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管理制度</w:t>
            </w:r>
            <w:r>
              <w:rPr>
                <w:rFonts w:eastAsia="宋体"/>
                <w:kern w:val="0"/>
                <w:sz w:val="21"/>
                <w:szCs w:val="21"/>
              </w:rPr>
              <w:br w:type="textWrapping"/>
            </w:r>
            <w:r>
              <w:rPr>
                <w:rFonts w:hint="eastAsia" w:hAnsi="宋体" w:eastAsia="宋体" w:cs="宋体"/>
                <w:kern w:val="0"/>
                <w:sz w:val="21"/>
                <w:szCs w:val="21"/>
              </w:rPr>
              <w:t>健全性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项目实施单位的财务和业务管理制度是否健全，用以反映和考核财务和业务管理制度对项目顺利实施的保障情况。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是否已制定或具有相应的财务和业务管理制度；</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财务和业务管理制度是否合法、合规、完整。</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5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制度执行</w:t>
            </w:r>
            <w:r>
              <w:rPr>
                <w:rFonts w:eastAsia="宋体"/>
                <w:kern w:val="0"/>
                <w:sz w:val="21"/>
                <w:szCs w:val="21"/>
              </w:rPr>
              <w:br w:type="textWrapping"/>
            </w:r>
            <w:r>
              <w:rPr>
                <w:rFonts w:hint="eastAsia" w:hAnsi="宋体" w:eastAsia="宋体" w:cs="宋体"/>
                <w:kern w:val="0"/>
                <w:sz w:val="21"/>
                <w:szCs w:val="21"/>
              </w:rPr>
              <w:t>有效性</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7</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项目实施是否符合相关管理规定，用以反映和考核相关管理制度的有效执行情况。</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w:t>
            </w:r>
            <w:r>
              <w:rPr>
                <w:rFonts w:eastAsia="宋体"/>
                <w:kern w:val="0"/>
                <w:sz w:val="21"/>
                <w:szCs w:val="21"/>
              </w:rPr>
              <w:br w:type="textWrapping"/>
            </w:r>
            <w:r>
              <w:rPr>
                <w:rFonts w:ascii="宋体" w:hAnsi="宋体" w:eastAsia="宋体"/>
                <w:kern w:val="0"/>
                <w:sz w:val="21"/>
                <w:szCs w:val="21"/>
              </w:rPr>
              <w:t>①</w:t>
            </w:r>
            <w:r>
              <w:rPr>
                <w:rFonts w:hint="eastAsia" w:hAnsi="宋体" w:eastAsia="宋体" w:cs="宋体"/>
                <w:kern w:val="0"/>
                <w:sz w:val="21"/>
                <w:szCs w:val="21"/>
              </w:rPr>
              <w:t>是否遵守相关法律法规和相关管理规定；</w:t>
            </w:r>
            <w:r>
              <w:rPr>
                <w:rFonts w:eastAsia="宋体"/>
                <w:kern w:val="0"/>
                <w:sz w:val="21"/>
                <w:szCs w:val="21"/>
              </w:rPr>
              <w:br w:type="textWrapping"/>
            </w:r>
            <w:r>
              <w:rPr>
                <w:rFonts w:ascii="宋体" w:hAnsi="宋体" w:eastAsia="宋体"/>
                <w:kern w:val="0"/>
                <w:sz w:val="21"/>
                <w:szCs w:val="21"/>
              </w:rPr>
              <w:t>②</w:t>
            </w:r>
            <w:r>
              <w:rPr>
                <w:rFonts w:hint="eastAsia" w:hAnsi="宋体" w:eastAsia="宋体" w:cs="宋体"/>
                <w:kern w:val="0"/>
                <w:sz w:val="21"/>
                <w:szCs w:val="21"/>
              </w:rPr>
              <w:t>项目调整及支出调整手续是否完备；</w:t>
            </w:r>
            <w:r>
              <w:rPr>
                <w:rFonts w:eastAsia="宋体"/>
                <w:kern w:val="0"/>
                <w:sz w:val="21"/>
                <w:szCs w:val="21"/>
              </w:rPr>
              <w:br w:type="textWrapping"/>
            </w:r>
            <w:r>
              <w:rPr>
                <w:rFonts w:ascii="宋体" w:hAnsi="宋体" w:eastAsia="宋体"/>
                <w:kern w:val="0"/>
                <w:sz w:val="21"/>
                <w:szCs w:val="21"/>
              </w:rPr>
              <w:t>③</w:t>
            </w:r>
            <w:r>
              <w:rPr>
                <w:rFonts w:hint="eastAsia" w:hAnsi="宋体" w:eastAsia="宋体" w:cs="宋体"/>
                <w:kern w:val="0"/>
                <w:sz w:val="21"/>
                <w:szCs w:val="21"/>
              </w:rPr>
              <w:t>项目合同书、验收报告、技术鉴定等资料是否齐全并及时归档；</w:t>
            </w:r>
            <w:r>
              <w:rPr>
                <w:rFonts w:eastAsia="宋体"/>
                <w:kern w:val="0"/>
                <w:sz w:val="21"/>
                <w:szCs w:val="21"/>
              </w:rPr>
              <w:br w:type="textWrapping"/>
            </w:r>
            <w:r>
              <w:rPr>
                <w:rFonts w:ascii="宋体" w:hAnsi="宋体" w:eastAsia="宋体"/>
                <w:kern w:val="0"/>
                <w:sz w:val="21"/>
                <w:szCs w:val="21"/>
              </w:rPr>
              <w:t>④</w:t>
            </w:r>
            <w:r>
              <w:rPr>
                <w:rFonts w:hint="eastAsia" w:hAnsi="宋体" w:eastAsia="宋体" w:cs="宋体"/>
                <w:kern w:val="0"/>
                <w:sz w:val="21"/>
                <w:szCs w:val="21"/>
              </w:rPr>
              <w:t>项目实施的人员条件、场地设备、信息支撑等是否落实到位。</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7</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1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产出</w:t>
            </w: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产出数量</w:t>
            </w:r>
          </w:p>
        </w:tc>
        <w:tc>
          <w:tcPr>
            <w:tcW w:w="57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每千名老年人口拥有床位数</w:t>
            </w:r>
          </w:p>
        </w:tc>
        <w:tc>
          <w:tcPr>
            <w:tcW w:w="32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项目实施的实际产出数是否达到计划产出数</w:t>
            </w:r>
          </w:p>
        </w:tc>
        <w:tc>
          <w:tcPr>
            <w:tcW w:w="231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评价要点：用以反映和考核项目产出数量目标的实现程度，预期各市州每千名老年人口拥有床位数</w:t>
            </w:r>
            <w:r>
              <w:rPr>
                <w:rFonts w:eastAsia="宋体"/>
                <w:kern w:val="0"/>
                <w:sz w:val="21"/>
                <w:szCs w:val="21"/>
              </w:rPr>
              <w:t>34</w:t>
            </w:r>
          </w:p>
        </w:tc>
        <w:tc>
          <w:tcPr>
            <w:tcW w:w="279"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2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279"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护理型床位数占养老机构床位总数</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评价要点：用以反映和考核项目产出数量目标的实现程度，预期各市州护理型床位数占养老机构床位总数</w:t>
            </w:r>
            <w:r>
              <w:rPr>
                <w:rFonts w:eastAsia="宋体"/>
                <w:kern w:val="0"/>
                <w:sz w:val="21"/>
                <w:szCs w:val="21"/>
              </w:rPr>
              <w:t>29%</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生活不能自理的特困人员的集中供养率</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评价要点：用以反映和考核项目产出数量目标的实现程度，预期各市州生活不能自理的特困人员的集中供养率</w:t>
            </w:r>
            <w:r>
              <w:rPr>
                <w:rFonts w:eastAsia="宋体"/>
                <w:kern w:val="0"/>
                <w:sz w:val="21"/>
                <w:szCs w:val="21"/>
              </w:rPr>
              <w:t>45%</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新建和更新改造殡仪馆个数</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评价要点：用以反映和考核项目产出数量目标的实现程度，预期新建和更新改造殡仪馆个数</w:t>
            </w:r>
            <w:r>
              <w:rPr>
                <w:rFonts w:eastAsia="宋体"/>
                <w:kern w:val="0"/>
                <w:sz w:val="21"/>
                <w:szCs w:val="21"/>
              </w:rPr>
              <w:t>5</w:t>
            </w:r>
            <w:r>
              <w:rPr>
                <w:rFonts w:hint="eastAsia" w:hAnsi="宋体" w:eastAsia="宋体" w:cs="宋体"/>
                <w:kern w:val="0"/>
                <w:sz w:val="21"/>
                <w:szCs w:val="21"/>
              </w:rPr>
              <w:t>个</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新建县级公益性骨灰存放设施</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评价要点：用以反映和考核项目产出数量目标的实现程度，预期新建县级公益性骨灰存放设施</w:t>
            </w:r>
            <w:r>
              <w:rPr>
                <w:rFonts w:eastAsia="宋体"/>
                <w:kern w:val="0"/>
                <w:sz w:val="21"/>
                <w:szCs w:val="21"/>
              </w:rPr>
              <w:t>5</w:t>
            </w:r>
            <w:r>
              <w:rPr>
                <w:rFonts w:hint="eastAsia" w:hAnsi="宋体" w:eastAsia="宋体" w:cs="宋体"/>
                <w:kern w:val="0"/>
                <w:sz w:val="21"/>
                <w:szCs w:val="21"/>
              </w:rPr>
              <w:t>个</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乡镇公益性公墓和集中治丧场所</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评价要点：用以反映和考核项目产出数量目标的实现程度，预期乡镇公益性公墓和集中治丧场所</w:t>
            </w:r>
            <w:r>
              <w:rPr>
                <w:rFonts w:eastAsia="宋体"/>
                <w:kern w:val="0"/>
                <w:sz w:val="21"/>
                <w:szCs w:val="21"/>
              </w:rPr>
              <w:t>20</w:t>
            </w:r>
            <w:r>
              <w:rPr>
                <w:rFonts w:hint="eastAsia" w:hAnsi="宋体" w:eastAsia="宋体" w:cs="宋体"/>
                <w:kern w:val="0"/>
                <w:sz w:val="21"/>
                <w:szCs w:val="21"/>
              </w:rPr>
              <w:t>个</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节地生态安葬率</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评价要点：用以反映和考核项目产出数量目标的实现程度，预期各市州节地生态安葬率</w:t>
            </w:r>
            <w:r>
              <w:rPr>
                <w:rFonts w:eastAsia="宋体"/>
                <w:kern w:val="0"/>
                <w:sz w:val="21"/>
                <w:szCs w:val="21"/>
              </w:rPr>
              <w:t>40%</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108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产出质量</w:t>
            </w: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质量达标率</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项目完成的质量达标产出数与实际产出数的比率，用以反映和考核项目产出质量目标的实现程度。</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质量达标率</w:t>
            </w:r>
            <w:r>
              <w:rPr>
                <w:rFonts w:eastAsia="宋体"/>
                <w:kern w:val="0"/>
                <w:sz w:val="21"/>
                <w:szCs w:val="21"/>
              </w:rPr>
              <w:t>=</w:t>
            </w:r>
            <w:r>
              <w:rPr>
                <w:rFonts w:hint="eastAsia" w:hAnsi="宋体" w:eastAsia="宋体" w:cs="宋体"/>
                <w:kern w:val="0"/>
                <w:sz w:val="21"/>
                <w:szCs w:val="21"/>
              </w:rPr>
              <w:t>（质量达标产出数</w:t>
            </w:r>
            <w:r>
              <w:rPr>
                <w:rFonts w:eastAsia="宋体"/>
                <w:kern w:val="0"/>
                <w:sz w:val="21"/>
                <w:szCs w:val="21"/>
              </w:rPr>
              <w:t>/</w:t>
            </w:r>
            <w:r>
              <w:rPr>
                <w:rFonts w:hint="eastAsia" w:hAnsi="宋体" w:eastAsia="宋体" w:cs="宋体"/>
                <w:kern w:val="0"/>
                <w:sz w:val="21"/>
                <w:szCs w:val="21"/>
              </w:rPr>
              <w:t>实际产出数）</w:t>
            </w:r>
            <w:r>
              <w:rPr>
                <w:rFonts w:eastAsia="宋体"/>
                <w:kern w:val="0"/>
                <w:sz w:val="21"/>
                <w:szCs w:val="21"/>
              </w:rPr>
              <w:t>×100%</w:t>
            </w:r>
            <w:r>
              <w:rPr>
                <w:rFonts w:hint="eastAsia" w:hAnsi="宋体" w:eastAsia="宋体" w:cs="宋体"/>
                <w:kern w:val="0"/>
                <w:sz w:val="21"/>
                <w:szCs w:val="21"/>
              </w:rPr>
              <w:t>。</w:t>
            </w:r>
            <w:r>
              <w:rPr>
                <w:rFonts w:eastAsia="宋体"/>
                <w:kern w:val="0"/>
                <w:sz w:val="21"/>
                <w:szCs w:val="21"/>
              </w:rPr>
              <w:br w:type="textWrapping"/>
            </w:r>
            <w:r>
              <w:rPr>
                <w:rFonts w:hint="eastAsia" w:hAnsi="宋体" w:eastAsia="宋体" w:cs="宋体"/>
                <w:kern w:val="0"/>
                <w:sz w:val="21"/>
                <w:szCs w:val="21"/>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r>
      <w:tr>
        <w:tblPrEx>
          <w:tblCellMar>
            <w:top w:w="0" w:type="dxa"/>
            <w:left w:w="0" w:type="dxa"/>
            <w:bottom w:w="0" w:type="dxa"/>
            <w:right w:w="0" w:type="dxa"/>
          </w:tblCellMar>
        </w:tblPrEx>
        <w:trPr>
          <w:trHeight w:val="81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产出时效</w:t>
            </w: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社会福利院建设期限</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项目实际完成时间与计划完成时间作比较，用以反映和考核项目产出时效目标的实现程度。</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评价要点：用以反映和考核项目产出时效目标的实现程度。新建社会福利院</w:t>
            </w:r>
            <w:r>
              <w:rPr>
                <w:rFonts w:eastAsia="宋体"/>
                <w:kern w:val="0"/>
                <w:sz w:val="21"/>
                <w:szCs w:val="21"/>
              </w:rPr>
              <w:t>2</w:t>
            </w:r>
            <w:r>
              <w:rPr>
                <w:rFonts w:hint="eastAsia" w:hAnsi="宋体" w:eastAsia="宋体" w:cs="宋体"/>
                <w:kern w:val="0"/>
                <w:sz w:val="21"/>
                <w:szCs w:val="21"/>
              </w:rPr>
              <w:t>－</w:t>
            </w:r>
            <w:r>
              <w:rPr>
                <w:rFonts w:eastAsia="宋体"/>
                <w:kern w:val="0"/>
                <w:sz w:val="21"/>
                <w:szCs w:val="21"/>
              </w:rPr>
              <w:t>3</w:t>
            </w:r>
            <w:r>
              <w:rPr>
                <w:rFonts w:hint="eastAsia" w:hAnsi="宋体" w:eastAsia="宋体" w:cs="宋体"/>
                <w:kern w:val="0"/>
                <w:sz w:val="21"/>
                <w:szCs w:val="21"/>
              </w:rPr>
              <w:t>年，改扩建</w:t>
            </w:r>
            <w:r>
              <w:rPr>
                <w:rFonts w:eastAsia="宋体"/>
                <w:kern w:val="0"/>
                <w:sz w:val="21"/>
                <w:szCs w:val="21"/>
              </w:rPr>
              <w:t>1</w:t>
            </w:r>
            <w:r>
              <w:rPr>
                <w:rFonts w:hint="eastAsia" w:hAnsi="宋体" w:eastAsia="宋体" w:cs="宋体"/>
                <w:kern w:val="0"/>
                <w:sz w:val="21"/>
                <w:szCs w:val="21"/>
              </w:rPr>
              <w:t>年。</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未成年人保护中心和儿童福利院建设期限</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评价要点：用以反映和考核项目产出时效目标的实现程度。新建未成年人保护中心和儿童福利院</w:t>
            </w:r>
            <w:r>
              <w:rPr>
                <w:rFonts w:eastAsia="宋体"/>
                <w:kern w:val="0"/>
                <w:sz w:val="21"/>
                <w:szCs w:val="21"/>
              </w:rPr>
              <w:t>1-2</w:t>
            </w:r>
            <w:r>
              <w:rPr>
                <w:rFonts w:hint="eastAsia" w:hAnsi="宋体" w:eastAsia="宋体" w:cs="宋体"/>
                <w:kern w:val="0"/>
                <w:sz w:val="21"/>
                <w:szCs w:val="21"/>
              </w:rPr>
              <w:t>年，改扩建</w:t>
            </w:r>
            <w:r>
              <w:rPr>
                <w:rFonts w:eastAsia="宋体"/>
                <w:kern w:val="0"/>
                <w:sz w:val="21"/>
                <w:szCs w:val="21"/>
              </w:rPr>
              <w:t>1</w:t>
            </w:r>
            <w:r>
              <w:rPr>
                <w:rFonts w:hint="eastAsia" w:hAnsi="宋体" w:eastAsia="宋体" w:cs="宋体"/>
                <w:kern w:val="0"/>
                <w:sz w:val="21"/>
                <w:szCs w:val="21"/>
              </w:rPr>
              <w:t>年。</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253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殡仪馆建设期限，县级公益性骨灰存放设施建设期限，乡镇公益性公墓和集中治丧场所建设期限。</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评价要点：用以反映和考核项目产出时效目标的实现程度。新建殡仪馆</w:t>
            </w:r>
            <w:r>
              <w:rPr>
                <w:rFonts w:eastAsia="宋体"/>
                <w:kern w:val="0"/>
                <w:sz w:val="21"/>
                <w:szCs w:val="21"/>
              </w:rPr>
              <w:t>2</w:t>
            </w:r>
            <w:r>
              <w:rPr>
                <w:rFonts w:hint="eastAsia" w:hAnsi="宋体" w:eastAsia="宋体" w:cs="宋体"/>
                <w:kern w:val="0"/>
                <w:sz w:val="21"/>
                <w:szCs w:val="21"/>
              </w:rPr>
              <w:t>－</w:t>
            </w:r>
            <w:r>
              <w:rPr>
                <w:rFonts w:eastAsia="宋体"/>
                <w:kern w:val="0"/>
                <w:sz w:val="21"/>
                <w:szCs w:val="21"/>
              </w:rPr>
              <w:t>4</w:t>
            </w:r>
            <w:r>
              <w:rPr>
                <w:rFonts w:hint="eastAsia" w:hAnsi="宋体" w:eastAsia="宋体" w:cs="宋体"/>
                <w:kern w:val="0"/>
                <w:sz w:val="21"/>
                <w:szCs w:val="21"/>
              </w:rPr>
              <w:t>年，改扩建殡仪馆</w:t>
            </w:r>
            <w:r>
              <w:rPr>
                <w:rFonts w:eastAsia="宋体"/>
                <w:kern w:val="0"/>
                <w:sz w:val="21"/>
                <w:szCs w:val="21"/>
              </w:rPr>
              <w:t>1</w:t>
            </w:r>
            <w:r>
              <w:rPr>
                <w:rFonts w:hint="eastAsia" w:hAnsi="宋体" w:eastAsia="宋体" w:cs="宋体"/>
                <w:kern w:val="0"/>
                <w:sz w:val="21"/>
                <w:szCs w:val="21"/>
              </w:rPr>
              <w:t>－</w:t>
            </w:r>
            <w:r>
              <w:rPr>
                <w:rFonts w:eastAsia="宋体"/>
                <w:kern w:val="0"/>
                <w:sz w:val="21"/>
                <w:szCs w:val="21"/>
              </w:rPr>
              <w:t>2</w:t>
            </w:r>
            <w:r>
              <w:rPr>
                <w:rFonts w:hint="eastAsia" w:hAnsi="宋体" w:eastAsia="宋体" w:cs="宋体"/>
                <w:kern w:val="0"/>
                <w:sz w:val="21"/>
                <w:szCs w:val="21"/>
              </w:rPr>
              <w:t>年，新建县级公益性骨灰存放设施</w:t>
            </w:r>
            <w:r>
              <w:rPr>
                <w:rFonts w:eastAsia="宋体"/>
                <w:kern w:val="0"/>
                <w:sz w:val="21"/>
                <w:szCs w:val="21"/>
              </w:rPr>
              <w:t>1</w:t>
            </w:r>
            <w:r>
              <w:rPr>
                <w:rFonts w:hint="eastAsia" w:hAnsi="宋体" w:eastAsia="宋体" w:cs="宋体"/>
                <w:kern w:val="0"/>
                <w:sz w:val="21"/>
                <w:szCs w:val="21"/>
              </w:rPr>
              <w:t>－</w:t>
            </w:r>
            <w:r>
              <w:rPr>
                <w:rFonts w:eastAsia="宋体"/>
                <w:kern w:val="0"/>
                <w:sz w:val="21"/>
                <w:szCs w:val="21"/>
              </w:rPr>
              <w:t>2</w:t>
            </w:r>
            <w:r>
              <w:rPr>
                <w:rFonts w:hint="eastAsia" w:hAnsi="宋体" w:eastAsia="宋体" w:cs="宋体"/>
                <w:kern w:val="0"/>
                <w:sz w:val="21"/>
                <w:szCs w:val="21"/>
              </w:rPr>
              <w:t>年，乡镇公益性公墓和集中治丧场所</w:t>
            </w:r>
            <w:r>
              <w:rPr>
                <w:rFonts w:eastAsia="宋体"/>
                <w:kern w:val="0"/>
                <w:sz w:val="21"/>
                <w:szCs w:val="21"/>
              </w:rPr>
              <w:t>1</w:t>
            </w:r>
            <w:r>
              <w:rPr>
                <w:rFonts w:hint="eastAsia" w:hAnsi="宋体" w:eastAsia="宋体" w:cs="宋体"/>
                <w:kern w:val="0"/>
                <w:sz w:val="21"/>
                <w:szCs w:val="21"/>
              </w:rPr>
              <w:t>年。</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796"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产出成本</w:t>
            </w: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区域性中心敬老院建设成本</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完成项目计划工作目标的实际节约成本与计划成本作比较，是否超标准建设。</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新建区域性中心敬老院</w:t>
            </w:r>
            <w:r>
              <w:rPr>
                <w:rFonts w:eastAsia="宋体"/>
                <w:kern w:val="0"/>
                <w:sz w:val="21"/>
                <w:szCs w:val="21"/>
              </w:rPr>
              <w:t>400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853" w:hRule="atLeast"/>
        </w:trPr>
        <w:tc>
          <w:tcPr>
            <w:tcW w:w="31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示范县市居家养老建设成本</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示范县市居家养老新建</w:t>
            </w:r>
            <w:r>
              <w:rPr>
                <w:rFonts w:eastAsia="宋体"/>
                <w:kern w:val="0"/>
                <w:sz w:val="21"/>
                <w:szCs w:val="21"/>
              </w:rPr>
              <w:t>100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w:t>
            </w:r>
            <w:r>
              <w:rPr>
                <w:rFonts w:eastAsia="宋体"/>
                <w:kern w:val="0"/>
                <w:sz w:val="21"/>
                <w:szCs w:val="21"/>
              </w:rPr>
              <w:t>60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1523" w:hRule="atLeast"/>
        </w:trPr>
        <w:tc>
          <w:tcPr>
            <w:tcW w:w="31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未成年人保护中心建设成本，儿童福利院建设成本</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未成年人保护中心建设</w:t>
            </w:r>
            <w:r>
              <w:rPr>
                <w:rFonts w:eastAsia="宋体"/>
                <w:kern w:val="0"/>
                <w:sz w:val="21"/>
                <w:szCs w:val="21"/>
              </w:rPr>
              <w:t>100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所，新建儿童福利院</w:t>
            </w:r>
            <w:r>
              <w:rPr>
                <w:rFonts w:eastAsia="宋体"/>
                <w:kern w:val="0"/>
                <w:sz w:val="21"/>
                <w:szCs w:val="21"/>
              </w:rPr>
              <w:t>400</w:t>
            </w:r>
            <w:r>
              <w:rPr>
                <w:rFonts w:hint="eastAsia" w:hAnsi="宋体" w:eastAsia="宋体" w:cs="宋体"/>
                <w:kern w:val="0"/>
                <w:sz w:val="21"/>
                <w:szCs w:val="21"/>
              </w:rPr>
              <w:t>－</w:t>
            </w:r>
            <w:r>
              <w:rPr>
                <w:rFonts w:eastAsia="宋体"/>
                <w:kern w:val="0"/>
                <w:sz w:val="21"/>
                <w:szCs w:val="21"/>
              </w:rPr>
              <w:t>800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w:t>
            </w:r>
            <w:r>
              <w:rPr>
                <w:rFonts w:eastAsia="宋体"/>
                <w:kern w:val="0"/>
                <w:sz w:val="21"/>
                <w:szCs w:val="21"/>
              </w:rPr>
              <w:t>80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270" w:hRule="atLeast"/>
        </w:trPr>
        <w:tc>
          <w:tcPr>
            <w:tcW w:w="315"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殡葬馆建设成本</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新建殡葬馆</w:t>
            </w:r>
            <w:r>
              <w:rPr>
                <w:rFonts w:eastAsia="宋体"/>
                <w:kern w:val="0"/>
                <w:sz w:val="21"/>
                <w:szCs w:val="21"/>
              </w:rPr>
              <w:t>2000</w:t>
            </w:r>
            <w:r>
              <w:rPr>
                <w:rFonts w:hint="eastAsia" w:hAnsi="宋体" w:eastAsia="宋体" w:cs="宋体"/>
                <w:kern w:val="0"/>
                <w:sz w:val="21"/>
                <w:szCs w:val="21"/>
              </w:rPr>
              <w:t>－</w:t>
            </w:r>
            <w:r>
              <w:rPr>
                <w:rFonts w:eastAsia="宋体"/>
                <w:kern w:val="0"/>
                <w:sz w:val="21"/>
                <w:szCs w:val="21"/>
              </w:rPr>
              <w:t>10000</w:t>
            </w:r>
            <w:r>
              <w:rPr>
                <w:rFonts w:hint="eastAsia" w:hAnsi="宋体" w:eastAsia="宋体" w:cs="宋体"/>
                <w:kern w:val="0"/>
                <w:sz w:val="21"/>
                <w:szCs w:val="21"/>
              </w:rPr>
              <w:t>万元，改扩建殡葬基础设施</w:t>
            </w:r>
            <w:r>
              <w:rPr>
                <w:rFonts w:eastAsia="宋体"/>
                <w:kern w:val="0"/>
                <w:sz w:val="21"/>
                <w:szCs w:val="21"/>
              </w:rPr>
              <w:t>200</w:t>
            </w:r>
            <w:r>
              <w:rPr>
                <w:rFonts w:hint="eastAsia" w:hAnsi="宋体" w:eastAsia="宋体" w:cs="宋体"/>
                <w:kern w:val="0"/>
                <w:sz w:val="21"/>
                <w:szCs w:val="21"/>
              </w:rPr>
              <w:t>－</w:t>
            </w:r>
            <w:r>
              <w:rPr>
                <w:rFonts w:eastAsia="宋体"/>
                <w:kern w:val="0"/>
                <w:sz w:val="21"/>
                <w:szCs w:val="21"/>
              </w:rPr>
              <w:t>800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1080" w:hRule="atLeast"/>
        </w:trPr>
        <w:tc>
          <w:tcPr>
            <w:tcW w:w="315"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社会工作和志愿者服务项目社区社会工作服务站建设成本，社工人才队伍培训建设成本</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88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支持社会工作和志愿者服务项目社区社会工作服务站（室）</w:t>
            </w:r>
            <w:r>
              <w:rPr>
                <w:rFonts w:eastAsia="宋体"/>
                <w:kern w:val="0"/>
                <w:sz w:val="21"/>
                <w:szCs w:val="21"/>
              </w:rPr>
              <w:t>3</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个，社工人才队伍培训</w:t>
            </w:r>
            <w:r>
              <w:rPr>
                <w:rFonts w:eastAsia="宋体"/>
                <w:kern w:val="0"/>
                <w:sz w:val="21"/>
                <w:szCs w:val="21"/>
              </w:rPr>
              <w:t>5</w:t>
            </w:r>
            <w:r>
              <w:rPr>
                <w:rFonts w:hint="eastAsia" w:hAnsi="宋体" w:eastAsia="宋体" w:cs="宋体"/>
                <w:kern w:val="0"/>
                <w:sz w:val="21"/>
                <w:szCs w:val="21"/>
              </w:rPr>
              <w:t>－</w:t>
            </w:r>
            <w:r>
              <w:rPr>
                <w:rFonts w:eastAsia="宋体"/>
                <w:kern w:val="0"/>
                <w:sz w:val="21"/>
                <w:szCs w:val="21"/>
              </w:rPr>
              <w:t>10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个</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r>
      <w:tr>
        <w:tblPrEx>
          <w:tblCellMar>
            <w:top w:w="0" w:type="dxa"/>
            <w:left w:w="0" w:type="dxa"/>
            <w:bottom w:w="0" w:type="dxa"/>
            <w:right w:w="0" w:type="dxa"/>
          </w:tblCellMar>
        </w:tblPrEx>
        <w:trPr>
          <w:trHeight w:val="810" w:hRule="atLeast"/>
        </w:trPr>
        <w:tc>
          <w:tcPr>
            <w:tcW w:w="315"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效益　</w:t>
            </w: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项目效益　</w:t>
            </w: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经济效益</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项目实施所产生的效益。</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评价要点：项目是否为农村困难的五保户和农村特困家庭提供兜底保障服务，为城乡生活困难和失能失智老年人及困难家庭提供服务，为生活无着落未成年人提供临时救助和保护</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r>
      <w:tr>
        <w:tblPrEx>
          <w:tblCellMar>
            <w:top w:w="0" w:type="dxa"/>
            <w:left w:w="0" w:type="dxa"/>
            <w:bottom w:w="0" w:type="dxa"/>
            <w:right w:w="0" w:type="dxa"/>
          </w:tblCellMar>
        </w:tblPrEx>
        <w:trPr>
          <w:trHeight w:val="108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社会效益</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项目实施所产生的效益。</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评价要点：对城乡低保户、</w:t>
            </w:r>
            <w:r>
              <w:rPr>
                <w:rFonts w:eastAsia="宋体"/>
                <w:kern w:val="0"/>
                <w:sz w:val="21"/>
                <w:szCs w:val="21"/>
              </w:rPr>
              <w:t>“</w:t>
            </w:r>
            <w:r>
              <w:rPr>
                <w:rFonts w:hint="eastAsia" w:hAnsi="宋体" w:eastAsia="宋体" w:cs="宋体"/>
                <w:kern w:val="0"/>
                <w:sz w:val="21"/>
                <w:szCs w:val="21"/>
              </w:rPr>
              <w:t>三无人员</w:t>
            </w:r>
            <w:r>
              <w:rPr>
                <w:rFonts w:eastAsia="宋体"/>
                <w:kern w:val="0"/>
                <w:sz w:val="21"/>
                <w:szCs w:val="21"/>
              </w:rPr>
              <w:t>”</w:t>
            </w:r>
            <w:r>
              <w:rPr>
                <w:rFonts w:hint="eastAsia" w:hAnsi="宋体" w:eastAsia="宋体" w:cs="宋体"/>
                <w:kern w:val="0"/>
                <w:sz w:val="21"/>
                <w:szCs w:val="21"/>
              </w:rPr>
              <w:t>、困难优抚对象、五保供养老人减免基本火化、消毒、遗体接运和冷冻等殡葬服务费。对选择树葬、草坪葬的低保户实行免费，引导群众采用环保低碳的方式安放亲人骨灰，节约殡葬用地。引导和带动社会工作专业人才队伍、志愿者队伍和社会工作服务机构、志愿服务组织建设</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可持续影响力</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项目实施所产生的效益。</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评价要点：项目是否按照兜底线、织密网、建机制的要求，完善社会救助、社会福利、慈善事业等制度，健全农村留守儿童和妇女、老年人关爱服务体系。</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r>
      <w:tr>
        <w:tblPrEx>
          <w:tblCellMar>
            <w:top w:w="0" w:type="dxa"/>
            <w:left w:w="0" w:type="dxa"/>
            <w:bottom w:w="0" w:type="dxa"/>
            <w:right w:w="0" w:type="dxa"/>
          </w:tblCellMar>
        </w:tblPrEx>
        <w:trPr>
          <w:trHeight w:val="54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满意度</w:t>
            </w: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服务对象满意度</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社会公众或服务对象对项目实施效果的满意程度。</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评价要点：预期服务对象满意度</w:t>
            </w:r>
            <w:r>
              <w:rPr>
                <w:rFonts w:eastAsia="宋体"/>
                <w:kern w:val="0"/>
                <w:sz w:val="21"/>
                <w:szCs w:val="21"/>
              </w:rPr>
              <w:t>≥70%</w:t>
            </w:r>
            <w:r>
              <w:rPr>
                <w:rFonts w:hint="eastAsia" w:hAnsi="宋体" w:eastAsia="宋体" w:cs="宋体"/>
                <w:kern w:val="0"/>
                <w:sz w:val="21"/>
                <w:szCs w:val="21"/>
              </w:rPr>
              <w:t>。</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r>
      <w:tr>
        <w:tblPrEx>
          <w:tblCellMar>
            <w:top w:w="0" w:type="dxa"/>
            <w:left w:w="0" w:type="dxa"/>
            <w:bottom w:w="0" w:type="dxa"/>
            <w:right w:w="0" w:type="dxa"/>
          </w:tblCellMar>
        </w:tblPrEx>
        <w:trPr>
          <w:trHeight w:val="270" w:hRule="atLeast"/>
        </w:trPr>
        <w:tc>
          <w:tcPr>
            <w:tcW w:w="315"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7"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57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政策知晓率</w:t>
            </w:r>
          </w:p>
        </w:tc>
        <w:tc>
          <w:tcPr>
            <w:tcW w:w="32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88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社会公众或服务对象对政策的知晓程度。</w:t>
            </w:r>
          </w:p>
        </w:tc>
        <w:tc>
          <w:tcPr>
            <w:tcW w:w="231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评价要点：预期政策知晓率</w:t>
            </w:r>
            <w:r>
              <w:rPr>
                <w:rFonts w:eastAsia="宋体"/>
                <w:kern w:val="0"/>
                <w:sz w:val="21"/>
                <w:szCs w:val="21"/>
              </w:rPr>
              <w:t>≥80%</w:t>
            </w:r>
            <w:r>
              <w:rPr>
                <w:rFonts w:hint="eastAsia" w:hAnsi="宋体" w:eastAsia="宋体" w:cs="宋体"/>
                <w:kern w:val="0"/>
                <w:sz w:val="21"/>
                <w:szCs w:val="21"/>
              </w:rPr>
              <w:t>。</w:t>
            </w:r>
          </w:p>
        </w:tc>
        <w:tc>
          <w:tcPr>
            <w:tcW w:w="2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r>
      <w:tr>
        <w:tblPrEx>
          <w:tblCellMar>
            <w:top w:w="0" w:type="dxa"/>
            <w:left w:w="0" w:type="dxa"/>
            <w:bottom w:w="0" w:type="dxa"/>
            <w:right w:w="0" w:type="dxa"/>
          </w:tblCellMar>
        </w:tblPrEx>
        <w:trPr>
          <w:trHeight w:val="363" w:hRule="atLeast"/>
        </w:trPr>
        <w:tc>
          <w:tcPr>
            <w:tcW w:w="1192"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合计</w:t>
            </w:r>
          </w:p>
        </w:tc>
        <w:tc>
          <w:tcPr>
            <w:tcW w:w="32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100</w:t>
            </w:r>
          </w:p>
        </w:tc>
        <w:tc>
          <w:tcPr>
            <w:tcW w:w="88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31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79"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95</w:t>
            </w:r>
          </w:p>
        </w:tc>
      </w:tr>
    </w:tbl>
    <w:p>
      <w:pPr>
        <w:rPr>
          <w:rFonts w:ascii="方正小标宋简体" w:eastAsia="方正小标宋简体"/>
        </w:rPr>
      </w:pPr>
    </w:p>
    <w:p>
      <w:pPr>
        <w:rPr>
          <w:rFonts w:ascii="方正小标宋简体" w:eastAsia="方正小标宋简体" w:cs="方正小标宋简体"/>
        </w:rPr>
      </w:pPr>
      <w:r>
        <w:rPr>
          <w:rFonts w:ascii="方正小标宋简体" w:eastAsia="方正小标宋简体"/>
        </w:rPr>
        <w:br w:type="page"/>
      </w:r>
      <w:r>
        <w:rPr>
          <w:rFonts w:hint="eastAsia" w:ascii="方正小标宋简体" w:eastAsia="方正小标宋简体" w:cs="方正小标宋简体"/>
        </w:rPr>
        <w:t>附件</w:t>
      </w:r>
      <w:r>
        <w:rPr>
          <w:rFonts w:ascii="方正小标宋简体" w:eastAsia="方正小标宋简体" w:cs="方正小标宋简体"/>
        </w:rPr>
        <w:t>2</w:t>
      </w:r>
    </w:p>
    <w:p>
      <w:pPr>
        <w:jc w:val="center"/>
        <w:rPr>
          <w:rFonts w:ascii="方正小标宋简体" w:eastAsia="方正小标宋简体"/>
          <w:spacing w:val="-12"/>
          <w:sz w:val="44"/>
          <w:szCs w:val="44"/>
        </w:rPr>
      </w:pPr>
      <w:r>
        <w:rPr>
          <w:rFonts w:ascii="方正小标宋简体" w:eastAsia="方正小标宋简体" w:cs="方正小标宋简体"/>
          <w:spacing w:val="-12"/>
          <w:sz w:val="44"/>
          <w:szCs w:val="44"/>
        </w:rPr>
        <w:t>2019</w:t>
      </w:r>
      <w:r>
        <w:rPr>
          <w:rFonts w:hint="eastAsia" w:ascii="方正小标宋简体" w:eastAsia="方正小标宋简体" w:cs="方正小标宋简体"/>
          <w:spacing w:val="-12"/>
          <w:sz w:val="44"/>
          <w:szCs w:val="44"/>
        </w:rPr>
        <w:t>年度民政公共服务设施建设支出绩效自评表</w:t>
      </w:r>
    </w:p>
    <w:tbl>
      <w:tblPr>
        <w:tblStyle w:val="6"/>
        <w:tblW w:w="5166" w:type="pct"/>
        <w:tblInd w:w="2" w:type="dxa"/>
        <w:tblLayout w:type="fixed"/>
        <w:tblCellMar>
          <w:top w:w="0" w:type="dxa"/>
          <w:left w:w="0" w:type="dxa"/>
          <w:bottom w:w="0" w:type="dxa"/>
          <w:right w:w="0" w:type="dxa"/>
        </w:tblCellMar>
      </w:tblPr>
      <w:tblGrid>
        <w:gridCol w:w="721"/>
        <w:gridCol w:w="666"/>
        <w:gridCol w:w="638"/>
        <w:gridCol w:w="1698"/>
        <w:gridCol w:w="1599"/>
        <w:gridCol w:w="2127"/>
        <w:gridCol w:w="558"/>
        <w:gridCol w:w="462"/>
        <w:gridCol w:w="701"/>
      </w:tblGrid>
      <w:tr>
        <w:tblPrEx>
          <w:tblCellMar>
            <w:top w:w="0" w:type="dxa"/>
            <w:left w:w="0" w:type="dxa"/>
            <w:bottom w:w="0" w:type="dxa"/>
            <w:right w:w="0" w:type="dxa"/>
          </w:tblCellMar>
        </w:tblPrEx>
        <w:trPr>
          <w:trHeight w:val="270" w:hRule="atLeast"/>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项目支</w:t>
            </w:r>
            <w:r>
              <w:rPr>
                <w:rFonts w:eastAsia="宋体"/>
                <w:kern w:val="0"/>
                <w:sz w:val="21"/>
                <w:szCs w:val="21"/>
              </w:rPr>
              <w:br w:type="textWrapping"/>
            </w:r>
            <w:r>
              <w:rPr>
                <w:rFonts w:hint="eastAsia" w:hAnsi="宋体" w:eastAsia="宋体" w:cs="宋体"/>
                <w:kern w:val="0"/>
                <w:sz w:val="21"/>
                <w:szCs w:val="21"/>
              </w:rPr>
              <w:t>出名称</w:t>
            </w:r>
          </w:p>
        </w:tc>
        <w:tc>
          <w:tcPr>
            <w:tcW w:w="4607" w:type="pct"/>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民政公共服务设施建设专项</w:t>
            </w:r>
          </w:p>
        </w:tc>
      </w:tr>
      <w:tr>
        <w:tblPrEx>
          <w:tblCellMar>
            <w:top w:w="0" w:type="dxa"/>
            <w:left w:w="0" w:type="dxa"/>
            <w:bottom w:w="0" w:type="dxa"/>
            <w:right w:w="0" w:type="dxa"/>
          </w:tblCellMar>
        </w:tblPrEx>
        <w:trPr>
          <w:trHeight w:val="312"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4607" w:type="pct"/>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464" w:hRule="atLeast"/>
        </w:trPr>
        <w:tc>
          <w:tcPr>
            <w:tcW w:w="39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主管</w:t>
            </w:r>
          </w:p>
          <w:p>
            <w:pPr>
              <w:widowControl/>
              <w:spacing w:line="240" w:lineRule="exact"/>
              <w:jc w:val="center"/>
              <w:rPr>
                <w:rFonts w:eastAsia="宋体"/>
                <w:kern w:val="0"/>
                <w:sz w:val="21"/>
                <w:szCs w:val="21"/>
              </w:rPr>
            </w:pPr>
            <w:r>
              <w:rPr>
                <w:rFonts w:hint="eastAsia" w:hAnsi="宋体" w:eastAsia="宋体" w:cs="宋体"/>
                <w:kern w:val="0"/>
                <w:sz w:val="21"/>
                <w:szCs w:val="21"/>
              </w:rPr>
              <w:t>部门</w:t>
            </w:r>
          </w:p>
        </w:tc>
        <w:tc>
          <w:tcPr>
            <w:tcW w:w="2509"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湖南省民政厅</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实施单位</w:t>
            </w:r>
          </w:p>
        </w:tc>
        <w:tc>
          <w:tcPr>
            <w:tcW w:w="938"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市州、县民政局</w:t>
            </w:r>
          </w:p>
        </w:tc>
      </w:tr>
      <w:tr>
        <w:tblPrEx>
          <w:tblCellMar>
            <w:top w:w="0" w:type="dxa"/>
            <w:left w:w="0" w:type="dxa"/>
            <w:bottom w:w="0" w:type="dxa"/>
            <w:right w:w="0" w:type="dxa"/>
          </w:tblCellMar>
        </w:tblPrEx>
        <w:trPr>
          <w:trHeight w:val="270" w:hRule="atLeast"/>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项目资金</w:t>
            </w:r>
            <w:r>
              <w:rPr>
                <w:rFonts w:eastAsia="宋体"/>
                <w:kern w:val="0"/>
                <w:sz w:val="21"/>
                <w:szCs w:val="21"/>
              </w:rPr>
              <w:br w:type="textWrapping"/>
            </w:r>
            <w:r>
              <w:rPr>
                <w:rFonts w:hint="eastAsia" w:hAnsi="宋体" w:eastAsia="宋体" w:cs="宋体"/>
                <w:kern w:val="0"/>
                <w:sz w:val="21"/>
                <w:szCs w:val="21"/>
              </w:rPr>
              <w:t>（万元）</w:t>
            </w:r>
          </w:p>
        </w:tc>
        <w:tc>
          <w:tcPr>
            <w:tcW w:w="711" w:type="pct"/>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年初</w:t>
            </w:r>
            <w:r>
              <w:rPr>
                <w:rFonts w:eastAsia="宋体"/>
                <w:kern w:val="0"/>
                <w:sz w:val="21"/>
                <w:szCs w:val="21"/>
              </w:rPr>
              <w:br w:type="textWrapping"/>
            </w:r>
            <w:r>
              <w:rPr>
                <w:rFonts w:hint="eastAsia" w:hAnsi="宋体" w:eastAsia="宋体" w:cs="宋体"/>
                <w:kern w:val="0"/>
                <w:sz w:val="21"/>
                <w:szCs w:val="21"/>
              </w:rPr>
              <w:t>预算数</w:t>
            </w:r>
          </w:p>
        </w:tc>
        <w:tc>
          <w:tcPr>
            <w:tcW w:w="87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全年</w:t>
            </w:r>
            <w:r>
              <w:rPr>
                <w:rFonts w:eastAsia="宋体"/>
                <w:kern w:val="0"/>
                <w:sz w:val="21"/>
                <w:szCs w:val="21"/>
              </w:rPr>
              <w:br w:type="textWrapping"/>
            </w:r>
            <w:r>
              <w:rPr>
                <w:rFonts w:hint="eastAsia" w:hAnsi="宋体" w:eastAsia="宋体" w:cs="宋体"/>
                <w:kern w:val="0"/>
                <w:sz w:val="21"/>
                <w:szCs w:val="21"/>
              </w:rPr>
              <w:t>预算数</w:t>
            </w:r>
          </w:p>
        </w:tc>
        <w:tc>
          <w:tcPr>
            <w:tcW w:w="116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全年</w:t>
            </w:r>
            <w:r>
              <w:rPr>
                <w:rFonts w:eastAsia="宋体"/>
                <w:kern w:val="0"/>
                <w:sz w:val="21"/>
                <w:szCs w:val="21"/>
              </w:rPr>
              <w:br w:type="textWrapping"/>
            </w:r>
            <w:r>
              <w:rPr>
                <w:rFonts w:hint="eastAsia" w:hAnsi="宋体" w:eastAsia="宋体" w:cs="宋体"/>
                <w:kern w:val="0"/>
                <w:sz w:val="21"/>
                <w:szCs w:val="21"/>
              </w:rPr>
              <w:t>执行数</w:t>
            </w:r>
          </w:p>
        </w:tc>
        <w:tc>
          <w:tcPr>
            <w:tcW w:w="30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分值</w:t>
            </w:r>
          </w:p>
        </w:tc>
        <w:tc>
          <w:tcPr>
            <w:tcW w:w="25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执行率</w:t>
            </w:r>
          </w:p>
        </w:tc>
        <w:tc>
          <w:tcPr>
            <w:tcW w:w="3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得分</w:t>
            </w: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711" w:type="pct"/>
            <w:gridSpan w:val="2"/>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7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116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7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年度资金总额　</w:t>
            </w: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7,521.08 </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7,521.08 </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7,407.99 </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98%</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8</w:t>
            </w: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7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其中：当年财政拨款　</w:t>
            </w: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5,800.00 </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5,800.00 </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5,686.11 </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7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上年结转资金　</w:t>
            </w: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35.20 </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35.20 </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36.20 </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711"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其他资金</w:t>
            </w: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1,241.49 </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1,241.49 </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 xml:space="preserve">1,241.92 </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年度总体目标</w:t>
            </w:r>
          </w:p>
        </w:tc>
        <w:tc>
          <w:tcPr>
            <w:tcW w:w="2509"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预期目标</w:t>
            </w:r>
          </w:p>
        </w:tc>
        <w:tc>
          <w:tcPr>
            <w:tcW w:w="2098" w:type="pct"/>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实际完成情况　</w:t>
            </w:r>
          </w:p>
        </w:tc>
      </w:tr>
      <w:tr>
        <w:tblPrEx>
          <w:tblCellMar>
            <w:top w:w="0" w:type="dxa"/>
            <w:left w:w="0" w:type="dxa"/>
            <w:bottom w:w="0" w:type="dxa"/>
            <w:right w:w="0" w:type="dxa"/>
          </w:tblCellMar>
        </w:tblPrEx>
        <w:trPr>
          <w:trHeight w:val="2264" w:hRule="atLeast"/>
        </w:trPr>
        <w:tc>
          <w:tcPr>
            <w:tcW w:w="39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09"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w:t>
            </w:r>
            <w:r>
              <w:rPr>
                <w:rFonts w:eastAsia="宋体"/>
                <w:kern w:val="0"/>
                <w:sz w:val="21"/>
                <w:szCs w:val="21"/>
              </w:rPr>
              <w:t>1</w:t>
            </w:r>
            <w:r>
              <w:rPr>
                <w:rFonts w:hint="eastAsia" w:hAnsi="宋体" w:eastAsia="宋体" w:cs="宋体"/>
                <w:kern w:val="0"/>
                <w:sz w:val="21"/>
                <w:szCs w:val="21"/>
              </w:rPr>
              <w:t>）支持各地开展养老服务体系建设，使每千名老年人口拥有床位数</w:t>
            </w:r>
            <w:r>
              <w:rPr>
                <w:rFonts w:eastAsia="宋体"/>
                <w:kern w:val="0"/>
                <w:sz w:val="21"/>
                <w:szCs w:val="21"/>
              </w:rPr>
              <w:t>≥34</w:t>
            </w:r>
            <w:r>
              <w:rPr>
                <w:rFonts w:hint="eastAsia" w:hAnsi="宋体" w:eastAsia="宋体" w:cs="宋体"/>
                <w:kern w:val="0"/>
                <w:sz w:val="21"/>
                <w:szCs w:val="21"/>
              </w:rPr>
              <w:t>张，护理型床位数占养老机构床位总数</w:t>
            </w:r>
            <w:r>
              <w:rPr>
                <w:rFonts w:eastAsia="宋体"/>
                <w:kern w:val="0"/>
                <w:sz w:val="21"/>
                <w:szCs w:val="21"/>
              </w:rPr>
              <w:t>≥29%</w:t>
            </w:r>
            <w:r>
              <w:rPr>
                <w:rFonts w:hint="eastAsia" w:hAnsi="宋体" w:eastAsia="宋体" w:cs="宋体"/>
                <w:kern w:val="0"/>
                <w:sz w:val="21"/>
                <w:szCs w:val="21"/>
              </w:rPr>
              <w:t>，促进城乡养老服务协调发展，对生活不能自理的特困人员的集中供养率达到</w:t>
            </w:r>
            <w:r>
              <w:rPr>
                <w:rFonts w:eastAsia="宋体"/>
                <w:kern w:val="0"/>
                <w:sz w:val="21"/>
                <w:szCs w:val="21"/>
              </w:rPr>
              <w:t>45%</w:t>
            </w:r>
            <w:r>
              <w:rPr>
                <w:rFonts w:hint="eastAsia" w:hAnsi="宋体" w:eastAsia="宋体" w:cs="宋体"/>
                <w:kern w:val="0"/>
                <w:sz w:val="21"/>
                <w:szCs w:val="21"/>
              </w:rPr>
              <w:t>，促进社会力量参与养老服务，民办养老机构床位总数</w:t>
            </w:r>
            <w:r>
              <w:rPr>
                <w:rFonts w:eastAsia="宋体"/>
                <w:kern w:val="0"/>
                <w:sz w:val="21"/>
                <w:szCs w:val="21"/>
              </w:rPr>
              <w:t>≥30%</w:t>
            </w:r>
            <w:r>
              <w:rPr>
                <w:rFonts w:hint="eastAsia" w:hAnsi="宋体" w:eastAsia="宋体" w:cs="宋体"/>
                <w:kern w:val="0"/>
                <w:sz w:val="21"/>
                <w:szCs w:val="21"/>
              </w:rPr>
              <w:t>。</w:t>
            </w:r>
          </w:p>
          <w:p>
            <w:pPr>
              <w:widowControl/>
              <w:spacing w:line="240" w:lineRule="exact"/>
              <w:jc w:val="center"/>
              <w:rPr>
                <w:rFonts w:eastAsia="宋体"/>
                <w:kern w:val="0"/>
                <w:sz w:val="21"/>
                <w:szCs w:val="21"/>
              </w:rPr>
            </w:pPr>
            <w:r>
              <w:rPr>
                <w:rFonts w:hint="eastAsia" w:hAnsi="宋体" w:eastAsia="宋体" w:cs="宋体"/>
                <w:kern w:val="0"/>
                <w:sz w:val="21"/>
                <w:szCs w:val="21"/>
              </w:rPr>
              <w:t>（</w:t>
            </w:r>
            <w:r>
              <w:rPr>
                <w:rFonts w:eastAsia="宋体"/>
                <w:kern w:val="0"/>
                <w:sz w:val="21"/>
                <w:szCs w:val="21"/>
              </w:rPr>
              <w:t>2</w:t>
            </w:r>
            <w:r>
              <w:rPr>
                <w:rFonts w:hint="eastAsia" w:hAnsi="宋体" w:eastAsia="宋体" w:cs="宋体"/>
                <w:kern w:val="0"/>
                <w:sz w:val="21"/>
                <w:szCs w:val="21"/>
              </w:rPr>
              <w:t>）新建和更新改造</w:t>
            </w:r>
            <w:r>
              <w:rPr>
                <w:rFonts w:eastAsia="宋体"/>
                <w:kern w:val="0"/>
                <w:sz w:val="21"/>
                <w:szCs w:val="21"/>
              </w:rPr>
              <w:t>5</w:t>
            </w:r>
            <w:r>
              <w:rPr>
                <w:rFonts w:hint="eastAsia" w:hAnsi="宋体" w:eastAsia="宋体" w:cs="宋体"/>
                <w:kern w:val="0"/>
                <w:sz w:val="21"/>
                <w:szCs w:val="21"/>
              </w:rPr>
              <w:t>个殡仪馆，新建县级公益性骨灰存放设施</w:t>
            </w:r>
            <w:r>
              <w:rPr>
                <w:rFonts w:eastAsia="宋体"/>
                <w:kern w:val="0"/>
                <w:sz w:val="21"/>
                <w:szCs w:val="21"/>
              </w:rPr>
              <w:t>5</w:t>
            </w:r>
            <w:r>
              <w:rPr>
                <w:rFonts w:hint="eastAsia" w:hAnsi="宋体" w:eastAsia="宋体" w:cs="宋体"/>
                <w:kern w:val="0"/>
                <w:sz w:val="21"/>
                <w:szCs w:val="21"/>
              </w:rPr>
              <w:t>个、乡镇公益性公墓和集中治丧场所</w:t>
            </w:r>
            <w:r>
              <w:rPr>
                <w:rFonts w:eastAsia="宋体"/>
                <w:kern w:val="0"/>
                <w:sz w:val="21"/>
                <w:szCs w:val="21"/>
              </w:rPr>
              <w:t>20</w:t>
            </w:r>
            <w:r>
              <w:rPr>
                <w:rFonts w:hint="eastAsia" w:hAnsi="宋体" w:eastAsia="宋体" w:cs="宋体"/>
                <w:kern w:val="0"/>
                <w:sz w:val="21"/>
                <w:szCs w:val="21"/>
              </w:rPr>
              <w:t>个；节地生态安葬率达到</w:t>
            </w:r>
            <w:r>
              <w:rPr>
                <w:rFonts w:eastAsia="宋体"/>
                <w:kern w:val="0"/>
                <w:sz w:val="21"/>
                <w:szCs w:val="21"/>
              </w:rPr>
              <w:t>40%</w:t>
            </w:r>
            <w:r>
              <w:rPr>
                <w:rFonts w:hint="eastAsia" w:hAnsi="宋体" w:eastAsia="宋体" w:cs="宋体"/>
                <w:kern w:val="0"/>
                <w:sz w:val="21"/>
                <w:szCs w:val="21"/>
              </w:rPr>
              <w:t>。</w:t>
            </w:r>
          </w:p>
        </w:tc>
        <w:tc>
          <w:tcPr>
            <w:tcW w:w="2098" w:type="pct"/>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各市州每千名老年人口拥有床位数均超过</w:t>
            </w:r>
            <w:r>
              <w:rPr>
                <w:rFonts w:eastAsia="宋体"/>
                <w:kern w:val="0"/>
                <w:sz w:val="21"/>
                <w:szCs w:val="21"/>
              </w:rPr>
              <w:t>34</w:t>
            </w:r>
            <w:r>
              <w:rPr>
                <w:rFonts w:hint="eastAsia" w:hAnsi="宋体" w:eastAsia="宋体" w:cs="宋体"/>
                <w:kern w:val="0"/>
                <w:sz w:val="21"/>
                <w:szCs w:val="21"/>
              </w:rPr>
              <w:t>张，护理型床位数占养老机构床位总数均超过</w:t>
            </w:r>
            <w:r>
              <w:rPr>
                <w:rFonts w:eastAsia="宋体"/>
                <w:kern w:val="0"/>
                <w:sz w:val="21"/>
                <w:szCs w:val="21"/>
              </w:rPr>
              <w:t>29%</w:t>
            </w:r>
            <w:r>
              <w:rPr>
                <w:rFonts w:hint="eastAsia" w:hAnsi="宋体" w:eastAsia="宋体" w:cs="宋体"/>
                <w:kern w:val="0"/>
                <w:sz w:val="21"/>
                <w:szCs w:val="21"/>
              </w:rPr>
              <w:t>，不能自理的特困人员的集中供养率均超过</w:t>
            </w:r>
            <w:r>
              <w:rPr>
                <w:rFonts w:eastAsia="宋体"/>
                <w:kern w:val="0"/>
                <w:sz w:val="21"/>
                <w:szCs w:val="21"/>
              </w:rPr>
              <w:t>45%</w:t>
            </w:r>
            <w:r>
              <w:rPr>
                <w:rFonts w:hint="eastAsia" w:hAnsi="宋体" w:eastAsia="宋体" w:cs="宋体"/>
                <w:kern w:val="0"/>
                <w:sz w:val="21"/>
                <w:szCs w:val="21"/>
              </w:rPr>
              <w:t>。新建和更新改造殡仪馆个数</w:t>
            </w:r>
            <w:r>
              <w:rPr>
                <w:rFonts w:eastAsia="宋体"/>
                <w:kern w:val="0"/>
                <w:sz w:val="21"/>
                <w:szCs w:val="21"/>
              </w:rPr>
              <w:t>5</w:t>
            </w:r>
            <w:r>
              <w:rPr>
                <w:rFonts w:hint="eastAsia" w:hAnsi="宋体" w:eastAsia="宋体" w:cs="宋体"/>
                <w:kern w:val="0"/>
                <w:sz w:val="21"/>
                <w:szCs w:val="21"/>
              </w:rPr>
              <w:t>个，新建县级公益性骨灰存放设施</w:t>
            </w:r>
            <w:r>
              <w:rPr>
                <w:rFonts w:eastAsia="宋体"/>
                <w:kern w:val="0"/>
                <w:sz w:val="21"/>
                <w:szCs w:val="21"/>
              </w:rPr>
              <w:t>5</w:t>
            </w:r>
            <w:r>
              <w:rPr>
                <w:rFonts w:hint="eastAsia" w:hAnsi="宋体" w:eastAsia="宋体" w:cs="宋体"/>
                <w:kern w:val="0"/>
                <w:sz w:val="21"/>
                <w:szCs w:val="21"/>
              </w:rPr>
              <w:t>个，乡镇公益性公墓和集中治丧场所</w:t>
            </w:r>
            <w:r>
              <w:rPr>
                <w:rFonts w:eastAsia="宋体"/>
                <w:kern w:val="0"/>
                <w:sz w:val="21"/>
                <w:szCs w:val="21"/>
              </w:rPr>
              <w:t>20</w:t>
            </w:r>
            <w:r>
              <w:rPr>
                <w:rFonts w:hint="eastAsia" w:hAnsi="宋体" w:eastAsia="宋体" w:cs="宋体"/>
                <w:kern w:val="0"/>
                <w:sz w:val="21"/>
                <w:szCs w:val="21"/>
              </w:rPr>
              <w:t>个，节地生态安葬率各市州均超高</w:t>
            </w:r>
            <w:r>
              <w:rPr>
                <w:rFonts w:eastAsia="宋体"/>
                <w:kern w:val="0"/>
                <w:sz w:val="21"/>
                <w:szCs w:val="21"/>
              </w:rPr>
              <w:t>45%</w:t>
            </w:r>
            <w:r>
              <w:rPr>
                <w:rFonts w:hint="eastAsia" w:hAnsi="宋体" w:eastAsia="宋体" w:cs="宋体"/>
                <w:kern w:val="0"/>
                <w:sz w:val="21"/>
                <w:szCs w:val="21"/>
              </w:rPr>
              <w:t>。</w:t>
            </w:r>
          </w:p>
        </w:tc>
      </w:tr>
      <w:tr>
        <w:tblPrEx>
          <w:tblCellMar>
            <w:top w:w="0" w:type="dxa"/>
            <w:left w:w="0" w:type="dxa"/>
            <w:bottom w:w="0" w:type="dxa"/>
            <w:right w:w="0" w:type="dxa"/>
          </w:tblCellMar>
        </w:tblPrEx>
        <w:trPr>
          <w:trHeight w:val="270" w:hRule="atLeast"/>
        </w:trPr>
        <w:tc>
          <w:tcPr>
            <w:tcW w:w="39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绩</w:t>
            </w:r>
            <w:r>
              <w:rPr>
                <w:rFonts w:eastAsia="宋体"/>
                <w:kern w:val="0"/>
                <w:sz w:val="21"/>
                <w:szCs w:val="21"/>
              </w:rPr>
              <w:br w:type="textWrapping"/>
            </w:r>
            <w:r>
              <w:rPr>
                <w:rFonts w:hint="eastAsia" w:hAnsi="宋体" w:eastAsia="宋体" w:cs="宋体"/>
                <w:kern w:val="0"/>
                <w:sz w:val="21"/>
                <w:szCs w:val="21"/>
              </w:rPr>
              <w:t>效</w:t>
            </w:r>
            <w:r>
              <w:rPr>
                <w:rFonts w:eastAsia="宋体"/>
                <w:kern w:val="0"/>
                <w:sz w:val="21"/>
                <w:szCs w:val="21"/>
              </w:rPr>
              <w:br w:type="textWrapping"/>
            </w:r>
            <w:r>
              <w:rPr>
                <w:rFonts w:hint="eastAsia" w:hAnsi="宋体" w:eastAsia="宋体" w:cs="宋体"/>
                <w:kern w:val="0"/>
                <w:sz w:val="21"/>
                <w:szCs w:val="21"/>
              </w:rPr>
              <w:t>指</w:t>
            </w:r>
            <w:r>
              <w:rPr>
                <w:rFonts w:eastAsia="宋体"/>
                <w:kern w:val="0"/>
                <w:sz w:val="21"/>
                <w:szCs w:val="21"/>
              </w:rPr>
              <w:br w:type="textWrapping"/>
            </w:r>
            <w:r>
              <w:rPr>
                <w:rFonts w:hint="eastAsia" w:hAnsi="宋体" w:eastAsia="宋体" w:cs="宋体"/>
                <w:kern w:val="0"/>
                <w:sz w:val="21"/>
                <w:szCs w:val="21"/>
              </w:rPr>
              <w:t>标</w:t>
            </w:r>
          </w:p>
        </w:tc>
        <w:tc>
          <w:tcPr>
            <w:tcW w:w="36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一级指标</w:t>
            </w:r>
          </w:p>
        </w:tc>
        <w:tc>
          <w:tcPr>
            <w:tcW w:w="34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二级指标</w:t>
            </w:r>
          </w:p>
        </w:tc>
        <w:tc>
          <w:tcPr>
            <w:tcW w:w="92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三级指标</w:t>
            </w:r>
          </w:p>
        </w:tc>
        <w:tc>
          <w:tcPr>
            <w:tcW w:w="87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年度</w:t>
            </w:r>
            <w:r>
              <w:rPr>
                <w:rFonts w:eastAsia="宋体"/>
                <w:kern w:val="0"/>
                <w:sz w:val="21"/>
                <w:szCs w:val="21"/>
              </w:rPr>
              <w:br w:type="textWrapping"/>
            </w:r>
            <w:r>
              <w:rPr>
                <w:rFonts w:hint="eastAsia" w:hAnsi="宋体" w:eastAsia="宋体" w:cs="宋体"/>
                <w:kern w:val="0"/>
                <w:sz w:val="21"/>
                <w:szCs w:val="21"/>
              </w:rPr>
              <w:t>指标值</w:t>
            </w:r>
          </w:p>
        </w:tc>
        <w:tc>
          <w:tcPr>
            <w:tcW w:w="116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实际</w:t>
            </w:r>
            <w:r>
              <w:rPr>
                <w:rFonts w:eastAsia="宋体"/>
                <w:kern w:val="0"/>
                <w:sz w:val="21"/>
                <w:szCs w:val="21"/>
              </w:rPr>
              <w:br w:type="textWrapping"/>
            </w:r>
            <w:r>
              <w:rPr>
                <w:rFonts w:hint="eastAsia" w:hAnsi="宋体" w:eastAsia="宋体" w:cs="宋体"/>
                <w:kern w:val="0"/>
                <w:sz w:val="21"/>
                <w:szCs w:val="21"/>
              </w:rPr>
              <w:t>完成值</w:t>
            </w:r>
          </w:p>
        </w:tc>
        <w:tc>
          <w:tcPr>
            <w:tcW w:w="30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分值</w:t>
            </w:r>
          </w:p>
        </w:tc>
        <w:tc>
          <w:tcPr>
            <w:tcW w:w="25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得分</w:t>
            </w:r>
          </w:p>
        </w:tc>
        <w:tc>
          <w:tcPr>
            <w:tcW w:w="3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偏差原因分析及改进措施</w:t>
            </w: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87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116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87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116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4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87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116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产出指标（</w:t>
            </w:r>
            <w:r>
              <w:rPr>
                <w:rFonts w:eastAsia="宋体"/>
                <w:kern w:val="0"/>
                <w:sz w:val="21"/>
                <w:szCs w:val="21"/>
              </w:rPr>
              <w:t>50</w:t>
            </w:r>
            <w:r>
              <w:rPr>
                <w:rFonts w:hint="eastAsia" w:hAnsi="宋体" w:eastAsia="宋体" w:cs="宋体"/>
                <w:kern w:val="0"/>
                <w:sz w:val="21"/>
                <w:szCs w:val="21"/>
              </w:rPr>
              <w:t>分）</w:t>
            </w:r>
          </w:p>
        </w:tc>
        <w:tc>
          <w:tcPr>
            <w:tcW w:w="34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数量指标</w:t>
            </w:r>
          </w:p>
        </w:tc>
        <w:tc>
          <w:tcPr>
            <w:tcW w:w="926"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每千名老年人口拥有床位数</w:t>
            </w:r>
          </w:p>
        </w:tc>
        <w:tc>
          <w:tcPr>
            <w:tcW w:w="87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34</w:t>
            </w:r>
          </w:p>
        </w:tc>
        <w:tc>
          <w:tcPr>
            <w:tcW w:w="116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各市州每千名老年人口拥有床位数均超过</w:t>
            </w:r>
            <w:r>
              <w:rPr>
                <w:rFonts w:eastAsia="宋体"/>
                <w:kern w:val="0"/>
                <w:sz w:val="21"/>
                <w:szCs w:val="21"/>
              </w:rPr>
              <w:t>34</w:t>
            </w:r>
            <w:r>
              <w:rPr>
                <w:rFonts w:hint="eastAsia" w:hAnsi="宋体" w:eastAsia="宋体" w:cs="宋体"/>
                <w:kern w:val="0"/>
                <w:sz w:val="21"/>
                <w:szCs w:val="21"/>
              </w:rPr>
              <w:t>张。</w:t>
            </w:r>
          </w:p>
        </w:tc>
        <w:tc>
          <w:tcPr>
            <w:tcW w:w="30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25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w:t>
            </w:r>
          </w:p>
        </w:tc>
        <w:tc>
          <w:tcPr>
            <w:tcW w:w="3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116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4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87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116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675"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护理型床位数占养老机构床位总数</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29%</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各市州护理型床位数占养老机构床位总数均超过</w:t>
            </w:r>
            <w:r>
              <w:rPr>
                <w:rFonts w:eastAsia="宋体"/>
                <w:kern w:val="0"/>
                <w:sz w:val="21"/>
                <w:szCs w:val="21"/>
              </w:rPr>
              <w:t>29%</w:t>
            </w:r>
            <w:r>
              <w:rPr>
                <w:rFonts w:hint="eastAsia" w:hAnsi="宋体" w:eastAsia="宋体" w:cs="宋体"/>
                <w:kern w:val="0"/>
                <w:sz w:val="21"/>
                <w:szCs w:val="21"/>
              </w:rPr>
              <w:t>。</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90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生活不能自理的特困人员的集中供养率</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45%</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各市州生活不能自理的特困人员的集中供养率均超过</w:t>
            </w:r>
            <w:r>
              <w:rPr>
                <w:rFonts w:eastAsia="宋体"/>
                <w:kern w:val="0"/>
                <w:sz w:val="21"/>
                <w:szCs w:val="21"/>
              </w:rPr>
              <w:t>45%</w:t>
            </w:r>
            <w:r>
              <w:rPr>
                <w:rFonts w:hint="eastAsia" w:hAnsi="宋体" w:eastAsia="宋体" w:cs="宋体"/>
                <w:kern w:val="0"/>
                <w:sz w:val="21"/>
                <w:szCs w:val="21"/>
              </w:rPr>
              <w:t>。</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545"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新建和更新改造殡仪馆个数</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559"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新建县级公益性骨灰存放设施</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r>
              <w:rPr>
                <w:rFonts w:hint="eastAsia" w:hAnsi="宋体" w:eastAsia="宋体" w:cs="宋体"/>
                <w:kern w:val="0"/>
                <w:sz w:val="21"/>
                <w:szCs w:val="21"/>
              </w:rPr>
              <w:t>个</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r>
              <w:rPr>
                <w:rFonts w:hint="eastAsia" w:hAnsi="宋体" w:eastAsia="宋体" w:cs="宋体"/>
                <w:kern w:val="0"/>
                <w:sz w:val="21"/>
                <w:szCs w:val="21"/>
              </w:rPr>
              <w:t>个</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545"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乡镇公益性公墓和集中治丧场所</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20</w:t>
            </w:r>
            <w:r>
              <w:rPr>
                <w:rFonts w:hint="eastAsia" w:hAnsi="宋体" w:eastAsia="宋体" w:cs="宋体"/>
                <w:kern w:val="0"/>
                <w:sz w:val="21"/>
                <w:szCs w:val="21"/>
              </w:rPr>
              <w:t>个</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20</w:t>
            </w:r>
            <w:r>
              <w:rPr>
                <w:rFonts w:hint="eastAsia" w:hAnsi="宋体" w:eastAsia="宋体" w:cs="宋体"/>
                <w:kern w:val="0"/>
                <w:sz w:val="21"/>
                <w:szCs w:val="21"/>
              </w:rPr>
              <w:t>个</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节地生态安葬率</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40%</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40%</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675"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质量指标</w:t>
            </w: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严格按照彩票公益金使用管理的要求，建立健全资金绩效管理与监督检查机制。</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严格按照规定予以执行</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严格按照规定予以执行，未发现重大违规问题。</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675"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严格实行项目库管理，支持的项目通过项目立项、评审和预算申报，严格按照彩票公益金和预算管理要求开展工作。</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严格按照规定予以执行</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严格按照规定予以执行，未发现重大违规问题。</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45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时效指标</w:t>
            </w: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社会福利院建设期限</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新建社会福利院</w:t>
            </w:r>
            <w:r>
              <w:rPr>
                <w:rFonts w:eastAsia="宋体"/>
                <w:kern w:val="0"/>
                <w:sz w:val="21"/>
                <w:szCs w:val="21"/>
              </w:rPr>
              <w:t>2</w:t>
            </w:r>
            <w:r>
              <w:rPr>
                <w:rFonts w:hint="eastAsia" w:hAnsi="宋体" w:eastAsia="宋体" w:cs="宋体"/>
                <w:kern w:val="0"/>
                <w:sz w:val="21"/>
                <w:szCs w:val="21"/>
              </w:rPr>
              <w:t>－</w:t>
            </w:r>
            <w:r>
              <w:rPr>
                <w:rFonts w:eastAsia="宋体"/>
                <w:kern w:val="0"/>
                <w:sz w:val="21"/>
                <w:szCs w:val="21"/>
              </w:rPr>
              <w:t>3</w:t>
            </w:r>
            <w:r>
              <w:rPr>
                <w:rFonts w:hint="eastAsia" w:hAnsi="宋体" w:eastAsia="宋体" w:cs="宋体"/>
                <w:kern w:val="0"/>
                <w:sz w:val="21"/>
                <w:szCs w:val="21"/>
              </w:rPr>
              <w:t>年，改扩建</w:t>
            </w:r>
            <w:r>
              <w:rPr>
                <w:rFonts w:eastAsia="宋体"/>
                <w:kern w:val="0"/>
                <w:sz w:val="21"/>
                <w:szCs w:val="21"/>
              </w:rPr>
              <w:t>1</w:t>
            </w:r>
            <w:r>
              <w:rPr>
                <w:rFonts w:hint="eastAsia" w:hAnsi="宋体" w:eastAsia="宋体" w:cs="宋体"/>
                <w:kern w:val="0"/>
                <w:sz w:val="21"/>
                <w:szCs w:val="21"/>
              </w:rPr>
              <w:t>年。</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新建社会福利院</w:t>
            </w:r>
            <w:r>
              <w:rPr>
                <w:rFonts w:eastAsia="宋体"/>
                <w:kern w:val="0"/>
                <w:sz w:val="21"/>
                <w:szCs w:val="21"/>
              </w:rPr>
              <w:t>2</w:t>
            </w:r>
            <w:r>
              <w:rPr>
                <w:rFonts w:hint="eastAsia" w:hAnsi="宋体" w:eastAsia="宋体" w:cs="宋体"/>
                <w:kern w:val="0"/>
                <w:sz w:val="21"/>
                <w:szCs w:val="21"/>
              </w:rPr>
              <w:t>－</w:t>
            </w:r>
            <w:r>
              <w:rPr>
                <w:rFonts w:eastAsia="宋体"/>
                <w:kern w:val="0"/>
                <w:sz w:val="21"/>
                <w:szCs w:val="21"/>
              </w:rPr>
              <w:t>3</w:t>
            </w:r>
            <w:r>
              <w:rPr>
                <w:rFonts w:hint="eastAsia" w:hAnsi="宋体" w:eastAsia="宋体" w:cs="宋体"/>
                <w:kern w:val="0"/>
                <w:sz w:val="21"/>
                <w:szCs w:val="21"/>
              </w:rPr>
              <w:t>年，改扩建</w:t>
            </w:r>
            <w:r>
              <w:rPr>
                <w:rFonts w:eastAsia="宋体"/>
                <w:kern w:val="0"/>
                <w:sz w:val="21"/>
                <w:szCs w:val="21"/>
              </w:rPr>
              <w:t>1</w:t>
            </w:r>
            <w:r>
              <w:rPr>
                <w:rFonts w:hint="eastAsia" w:hAnsi="宋体" w:eastAsia="宋体" w:cs="宋体"/>
                <w:kern w:val="0"/>
                <w:sz w:val="21"/>
                <w:szCs w:val="21"/>
              </w:rPr>
              <w:t>年。</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90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未成年人保护中心和儿童福利院建设期限</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新建未成年人保护中心和儿童福利院</w:t>
            </w:r>
            <w:r>
              <w:rPr>
                <w:rFonts w:eastAsia="宋体"/>
                <w:kern w:val="0"/>
                <w:sz w:val="21"/>
                <w:szCs w:val="21"/>
              </w:rPr>
              <w:t>1-2</w:t>
            </w:r>
            <w:r>
              <w:rPr>
                <w:rFonts w:hint="eastAsia" w:hAnsi="宋体" w:eastAsia="宋体" w:cs="宋体"/>
                <w:kern w:val="0"/>
                <w:sz w:val="21"/>
                <w:szCs w:val="21"/>
              </w:rPr>
              <w:t>年，改扩建</w:t>
            </w:r>
            <w:r>
              <w:rPr>
                <w:rFonts w:eastAsia="宋体"/>
                <w:kern w:val="0"/>
                <w:sz w:val="21"/>
                <w:szCs w:val="21"/>
              </w:rPr>
              <w:t>1</w:t>
            </w:r>
            <w:r>
              <w:rPr>
                <w:rFonts w:hint="eastAsia" w:hAnsi="宋体" w:eastAsia="宋体" w:cs="宋体"/>
                <w:kern w:val="0"/>
                <w:sz w:val="21"/>
                <w:szCs w:val="21"/>
              </w:rPr>
              <w:t>年。</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新建未成年人保护中心和儿童福利院</w:t>
            </w:r>
            <w:r>
              <w:rPr>
                <w:rFonts w:eastAsia="宋体"/>
                <w:kern w:val="0"/>
                <w:sz w:val="21"/>
                <w:szCs w:val="21"/>
              </w:rPr>
              <w:t>1-2</w:t>
            </w:r>
            <w:r>
              <w:rPr>
                <w:rFonts w:hint="eastAsia" w:hAnsi="宋体" w:eastAsia="宋体" w:cs="宋体"/>
                <w:kern w:val="0"/>
                <w:sz w:val="21"/>
                <w:szCs w:val="21"/>
              </w:rPr>
              <w:t>年，改扩建</w:t>
            </w:r>
            <w:r>
              <w:rPr>
                <w:rFonts w:eastAsia="宋体"/>
                <w:kern w:val="0"/>
                <w:sz w:val="21"/>
                <w:szCs w:val="21"/>
              </w:rPr>
              <w:t>1</w:t>
            </w:r>
            <w:r>
              <w:rPr>
                <w:rFonts w:hint="eastAsia" w:hAnsi="宋体" w:eastAsia="宋体" w:cs="宋体"/>
                <w:kern w:val="0"/>
                <w:sz w:val="21"/>
                <w:szCs w:val="21"/>
              </w:rPr>
              <w:t>年。</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1575"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殡仪馆建设期限，县级公益性骨灰存放设施建设期限，乡镇公益性公墓和集中治丧场所建设期限。</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新建殡仪馆</w:t>
            </w:r>
            <w:r>
              <w:rPr>
                <w:rFonts w:eastAsia="宋体"/>
                <w:kern w:val="0"/>
                <w:sz w:val="21"/>
                <w:szCs w:val="21"/>
              </w:rPr>
              <w:t>2</w:t>
            </w:r>
            <w:r>
              <w:rPr>
                <w:rFonts w:hint="eastAsia" w:hAnsi="宋体" w:eastAsia="宋体" w:cs="宋体"/>
                <w:kern w:val="0"/>
                <w:sz w:val="21"/>
                <w:szCs w:val="21"/>
              </w:rPr>
              <w:t>－</w:t>
            </w:r>
            <w:r>
              <w:rPr>
                <w:rFonts w:eastAsia="宋体"/>
                <w:kern w:val="0"/>
                <w:sz w:val="21"/>
                <w:szCs w:val="21"/>
              </w:rPr>
              <w:t>4</w:t>
            </w:r>
            <w:r>
              <w:rPr>
                <w:rFonts w:hint="eastAsia" w:hAnsi="宋体" w:eastAsia="宋体" w:cs="宋体"/>
                <w:kern w:val="0"/>
                <w:sz w:val="21"/>
                <w:szCs w:val="21"/>
              </w:rPr>
              <w:t>年，改扩建殡仪馆</w:t>
            </w:r>
            <w:r>
              <w:rPr>
                <w:rFonts w:eastAsia="宋体"/>
                <w:kern w:val="0"/>
                <w:sz w:val="21"/>
                <w:szCs w:val="21"/>
              </w:rPr>
              <w:t>1</w:t>
            </w:r>
            <w:r>
              <w:rPr>
                <w:rFonts w:hint="eastAsia" w:hAnsi="宋体" w:eastAsia="宋体" w:cs="宋体"/>
                <w:kern w:val="0"/>
                <w:sz w:val="21"/>
                <w:szCs w:val="21"/>
              </w:rPr>
              <w:t>－</w:t>
            </w:r>
            <w:r>
              <w:rPr>
                <w:rFonts w:eastAsia="宋体"/>
                <w:kern w:val="0"/>
                <w:sz w:val="21"/>
                <w:szCs w:val="21"/>
              </w:rPr>
              <w:t>2</w:t>
            </w:r>
            <w:r>
              <w:rPr>
                <w:rFonts w:hint="eastAsia" w:hAnsi="宋体" w:eastAsia="宋体" w:cs="宋体"/>
                <w:kern w:val="0"/>
                <w:sz w:val="21"/>
                <w:szCs w:val="21"/>
              </w:rPr>
              <w:t>年，新建县级公益性骨灰存放设施</w:t>
            </w:r>
            <w:r>
              <w:rPr>
                <w:rFonts w:eastAsia="宋体"/>
                <w:kern w:val="0"/>
                <w:sz w:val="21"/>
                <w:szCs w:val="21"/>
              </w:rPr>
              <w:t>1</w:t>
            </w:r>
            <w:r>
              <w:rPr>
                <w:rFonts w:hint="eastAsia" w:hAnsi="宋体" w:eastAsia="宋体" w:cs="宋体"/>
                <w:kern w:val="0"/>
                <w:sz w:val="21"/>
                <w:szCs w:val="21"/>
              </w:rPr>
              <w:t>－</w:t>
            </w:r>
            <w:r>
              <w:rPr>
                <w:rFonts w:eastAsia="宋体"/>
                <w:kern w:val="0"/>
                <w:sz w:val="21"/>
                <w:szCs w:val="21"/>
              </w:rPr>
              <w:t>2</w:t>
            </w:r>
            <w:r>
              <w:rPr>
                <w:rFonts w:hint="eastAsia" w:hAnsi="宋体" w:eastAsia="宋体" w:cs="宋体"/>
                <w:kern w:val="0"/>
                <w:sz w:val="21"/>
                <w:szCs w:val="21"/>
              </w:rPr>
              <w:t>年，乡镇公益性公墓和集中治丧场所</w:t>
            </w:r>
            <w:r>
              <w:rPr>
                <w:rFonts w:eastAsia="宋体"/>
                <w:kern w:val="0"/>
                <w:sz w:val="21"/>
                <w:szCs w:val="21"/>
              </w:rPr>
              <w:t>1</w:t>
            </w:r>
            <w:r>
              <w:rPr>
                <w:rFonts w:hint="eastAsia" w:hAnsi="宋体" w:eastAsia="宋体" w:cs="宋体"/>
                <w:kern w:val="0"/>
                <w:sz w:val="21"/>
                <w:szCs w:val="21"/>
              </w:rPr>
              <w:t>年。</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新建殡仪馆</w:t>
            </w:r>
            <w:r>
              <w:rPr>
                <w:rFonts w:eastAsia="宋体"/>
                <w:kern w:val="0"/>
                <w:sz w:val="21"/>
                <w:szCs w:val="21"/>
              </w:rPr>
              <w:t>2</w:t>
            </w:r>
            <w:r>
              <w:rPr>
                <w:rFonts w:hint="eastAsia" w:hAnsi="宋体" w:eastAsia="宋体" w:cs="宋体"/>
                <w:kern w:val="0"/>
                <w:sz w:val="21"/>
                <w:szCs w:val="21"/>
              </w:rPr>
              <w:t>－</w:t>
            </w:r>
            <w:r>
              <w:rPr>
                <w:rFonts w:eastAsia="宋体"/>
                <w:kern w:val="0"/>
                <w:sz w:val="21"/>
                <w:szCs w:val="21"/>
              </w:rPr>
              <w:t>4</w:t>
            </w:r>
            <w:r>
              <w:rPr>
                <w:rFonts w:hint="eastAsia" w:hAnsi="宋体" w:eastAsia="宋体" w:cs="宋体"/>
                <w:kern w:val="0"/>
                <w:sz w:val="21"/>
                <w:szCs w:val="21"/>
              </w:rPr>
              <w:t>年，改扩建殡仪馆</w:t>
            </w:r>
            <w:r>
              <w:rPr>
                <w:rFonts w:eastAsia="宋体"/>
                <w:kern w:val="0"/>
                <w:sz w:val="21"/>
                <w:szCs w:val="21"/>
              </w:rPr>
              <w:t>1</w:t>
            </w:r>
            <w:r>
              <w:rPr>
                <w:rFonts w:hint="eastAsia" w:hAnsi="宋体" w:eastAsia="宋体" w:cs="宋体"/>
                <w:kern w:val="0"/>
                <w:sz w:val="21"/>
                <w:szCs w:val="21"/>
              </w:rPr>
              <w:t>－</w:t>
            </w:r>
            <w:r>
              <w:rPr>
                <w:rFonts w:eastAsia="宋体"/>
                <w:kern w:val="0"/>
                <w:sz w:val="21"/>
                <w:szCs w:val="21"/>
              </w:rPr>
              <w:t>2</w:t>
            </w:r>
            <w:r>
              <w:rPr>
                <w:rFonts w:hint="eastAsia" w:hAnsi="宋体" w:eastAsia="宋体" w:cs="宋体"/>
                <w:kern w:val="0"/>
                <w:sz w:val="21"/>
                <w:szCs w:val="21"/>
              </w:rPr>
              <w:t>年，新建县级公益性骨灰存放设施</w:t>
            </w:r>
            <w:r>
              <w:rPr>
                <w:rFonts w:eastAsia="宋体"/>
                <w:kern w:val="0"/>
                <w:sz w:val="21"/>
                <w:szCs w:val="21"/>
              </w:rPr>
              <w:t>1</w:t>
            </w:r>
            <w:r>
              <w:rPr>
                <w:rFonts w:hint="eastAsia" w:hAnsi="宋体" w:eastAsia="宋体" w:cs="宋体"/>
                <w:kern w:val="0"/>
                <w:sz w:val="21"/>
                <w:szCs w:val="21"/>
              </w:rPr>
              <w:t>－</w:t>
            </w:r>
            <w:r>
              <w:rPr>
                <w:rFonts w:eastAsia="宋体"/>
                <w:kern w:val="0"/>
                <w:sz w:val="21"/>
                <w:szCs w:val="21"/>
              </w:rPr>
              <w:t>2</w:t>
            </w:r>
            <w:r>
              <w:rPr>
                <w:rFonts w:hint="eastAsia" w:hAnsi="宋体" w:eastAsia="宋体" w:cs="宋体"/>
                <w:kern w:val="0"/>
                <w:sz w:val="21"/>
                <w:szCs w:val="21"/>
              </w:rPr>
              <w:t>年，乡镇公益性公墓和集中治丧场所</w:t>
            </w:r>
            <w:r>
              <w:rPr>
                <w:rFonts w:eastAsia="宋体"/>
                <w:kern w:val="0"/>
                <w:sz w:val="21"/>
                <w:szCs w:val="21"/>
              </w:rPr>
              <w:t>1</w:t>
            </w:r>
            <w:r>
              <w:rPr>
                <w:rFonts w:hint="eastAsia" w:hAnsi="宋体" w:eastAsia="宋体" w:cs="宋体"/>
                <w:kern w:val="0"/>
                <w:sz w:val="21"/>
                <w:szCs w:val="21"/>
              </w:rPr>
              <w:t>年。</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675"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成本指标</w:t>
            </w: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区域性中心敬老院建设成本</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新建区域性中心敬老院</w:t>
            </w:r>
            <w:r>
              <w:rPr>
                <w:rFonts w:eastAsia="宋体"/>
                <w:kern w:val="0"/>
                <w:sz w:val="21"/>
                <w:szCs w:val="21"/>
              </w:rPr>
              <w:t>400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新建区域性中心敬老院</w:t>
            </w:r>
            <w:r>
              <w:rPr>
                <w:rFonts w:eastAsia="宋体"/>
                <w:kern w:val="0"/>
                <w:sz w:val="21"/>
                <w:szCs w:val="21"/>
              </w:rPr>
              <w:t>400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90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示范县市居家养老建设成本</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示范县市居家养老新建</w:t>
            </w:r>
            <w:r>
              <w:rPr>
                <w:rFonts w:eastAsia="宋体"/>
                <w:kern w:val="0"/>
                <w:sz w:val="21"/>
                <w:szCs w:val="21"/>
              </w:rPr>
              <w:t>100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w:t>
            </w:r>
            <w:r>
              <w:rPr>
                <w:rFonts w:eastAsia="宋体"/>
                <w:kern w:val="0"/>
                <w:sz w:val="21"/>
                <w:szCs w:val="21"/>
              </w:rPr>
              <w:t>60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示范县市居家养老新建</w:t>
            </w:r>
            <w:r>
              <w:rPr>
                <w:rFonts w:eastAsia="宋体"/>
                <w:kern w:val="0"/>
                <w:sz w:val="21"/>
                <w:szCs w:val="21"/>
              </w:rPr>
              <w:t>100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w:t>
            </w:r>
            <w:r>
              <w:rPr>
                <w:rFonts w:eastAsia="宋体"/>
                <w:kern w:val="0"/>
                <w:sz w:val="21"/>
                <w:szCs w:val="21"/>
              </w:rPr>
              <w:t>60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135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未成年人保护中心建设成本，儿童福利院建设成本</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未成年人保护中心建设</w:t>
            </w:r>
            <w:r>
              <w:rPr>
                <w:rFonts w:eastAsia="宋体"/>
                <w:kern w:val="0"/>
                <w:sz w:val="21"/>
                <w:szCs w:val="21"/>
              </w:rPr>
              <w:t>100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所，新建儿童福利院</w:t>
            </w:r>
            <w:r>
              <w:rPr>
                <w:rFonts w:eastAsia="宋体"/>
                <w:kern w:val="0"/>
                <w:sz w:val="21"/>
                <w:szCs w:val="21"/>
              </w:rPr>
              <w:t>400</w:t>
            </w:r>
            <w:r>
              <w:rPr>
                <w:rFonts w:hint="eastAsia" w:hAnsi="宋体" w:eastAsia="宋体" w:cs="宋体"/>
                <w:kern w:val="0"/>
                <w:sz w:val="21"/>
                <w:szCs w:val="21"/>
              </w:rPr>
              <w:t>－</w:t>
            </w:r>
            <w:r>
              <w:rPr>
                <w:rFonts w:eastAsia="宋体"/>
                <w:kern w:val="0"/>
                <w:sz w:val="21"/>
                <w:szCs w:val="21"/>
              </w:rPr>
              <w:t>800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w:t>
            </w:r>
            <w:r>
              <w:rPr>
                <w:rFonts w:eastAsia="宋体"/>
                <w:kern w:val="0"/>
                <w:sz w:val="21"/>
                <w:szCs w:val="21"/>
              </w:rPr>
              <w:t>80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未成年人保护中心建设</w:t>
            </w:r>
            <w:r>
              <w:rPr>
                <w:rFonts w:eastAsia="宋体"/>
                <w:kern w:val="0"/>
                <w:sz w:val="21"/>
                <w:szCs w:val="21"/>
              </w:rPr>
              <w:t>100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所，新建儿童福利院</w:t>
            </w:r>
            <w:r>
              <w:rPr>
                <w:rFonts w:eastAsia="宋体"/>
                <w:kern w:val="0"/>
                <w:sz w:val="21"/>
                <w:szCs w:val="21"/>
              </w:rPr>
              <w:t>400</w:t>
            </w:r>
            <w:r>
              <w:rPr>
                <w:rFonts w:hint="eastAsia" w:hAnsi="宋体" w:eastAsia="宋体" w:cs="宋体"/>
                <w:kern w:val="0"/>
                <w:sz w:val="21"/>
                <w:szCs w:val="21"/>
              </w:rPr>
              <w:t>－</w:t>
            </w:r>
            <w:r>
              <w:rPr>
                <w:rFonts w:eastAsia="宋体"/>
                <w:kern w:val="0"/>
                <w:sz w:val="21"/>
                <w:szCs w:val="21"/>
              </w:rPr>
              <w:t>800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所，改扩建</w:t>
            </w:r>
            <w:r>
              <w:rPr>
                <w:rFonts w:eastAsia="宋体"/>
                <w:kern w:val="0"/>
                <w:sz w:val="21"/>
                <w:szCs w:val="21"/>
              </w:rPr>
              <w:t>40</w:t>
            </w:r>
            <w:r>
              <w:rPr>
                <w:rFonts w:hint="eastAsia" w:hAnsi="宋体" w:eastAsia="宋体" w:cs="宋体"/>
                <w:kern w:val="0"/>
                <w:sz w:val="21"/>
                <w:szCs w:val="21"/>
              </w:rPr>
              <w:t>－</w:t>
            </w:r>
            <w:r>
              <w:rPr>
                <w:rFonts w:eastAsia="宋体"/>
                <w:kern w:val="0"/>
                <w:sz w:val="21"/>
                <w:szCs w:val="21"/>
              </w:rPr>
              <w:t>80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1188"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殡葬馆建设成本</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新建殡葬馆</w:t>
            </w:r>
            <w:r>
              <w:rPr>
                <w:rFonts w:eastAsia="宋体"/>
                <w:kern w:val="0"/>
                <w:sz w:val="21"/>
                <w:szCs w:val="21"/>
              </w:rPr>
              <w:t>2000</w:t>
            </w:r>
            <w:r>
              <w:rPr>
                <w:rFonts w:hint="eastAsia" w:hAnsi="宋体" w:eastAsia="宋体" w:cs="宋体"/>
                <w:kern w:val="0"/>
                <w:sz w:val="21"/>
                <w:szCs w:val="21"/>
              </w:rPr>
              <w:t>－</w:t>
            </w:r>
            <w:r>
              <w:rPr>
                <w:rFonts w:eastAsia="宋体"/>
                <w:kern w:val="0"/>
                <w:sz w:val="21"/>
                <w:szCs w:val="21"/>
              </w:rPr>
              <w:t>10000</w:t>
            </w:r>
            <w:r>
              <w:rPr>
                <w:rFonts w:hint="eastAsia" w:hAnsi="宋体" w:eastAsia="宋体" w:cs="宋体"/>
                <w:kern w:val="0"/>
                <w:sz w:val="21"/>
                <w:szCs w:val="21"/>
              </w:rPr>
              <w:t>万元，改扩建殡葬基础设施</w:t>
            </w:r>
            <w:r>
              <w:rPr>
                <w:rFonts w:eastAsia="宋体"/>
                <w:kern w:val="0"/>
                <w:sz w:val="21"/>
                <w:szCs w:val="21"/>
              </w:rPr>
              <w:t>200</w:t>
            </w:r>
            <w:r>
              <w:rPr>
                <w:rFonts w:hint="eastAsia" w:hAnsi="宋体" w:eastAsia="宋体" w:cs="宋体"/>
                <w:kern w:val="0"/>
                <w:sz w:val="21"/>
                <w:szCs w:val="21"/>
              </w:rPr>
              <w:t>－</w:t>
            </w:r>
            <w:r>
              <w:rPr>
                <w:rFonts w:eastAsia="宋体"/>
                <w:kern w:val="0"/>
                <w:sz w:val="21"/>
                <w:szCs w:val="21"/>
              </w:rPr>
              <w:t>800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新建殡葬馆</w:t>
            </w:r>
            <w:r>
              <w:rPr>
                <w:rFonts w:eastAsia="宋体"/>
                <w:kern w:val="0"/>
                <w:sz w:val="21"/>
                <w:szCs w:val="21"/>
              </w:rPr>
              <w:t>2000</w:t>
            </w:r>
            <w:r>
              <w:rPr>
                <w:rFonts w:hint="eastAsia" w:hAnsi="宋体" w:eastAsia="宋体" w:cs="宋体"/>
                <w:kern w:val="0"/>
                <w:sz w:val="21"/>
                <w:szCs w:val="21"/>
              </w:rPr>
              <w:t>－</w:t>
            </w:r>
            <w:r>
              <w:rPr>
                <w:rFonts w:eastAsia="宋体"/>
                <w:kern w:val="0"/>
                <w:sz w:val="21"/>
                <w:szCs w:val="21"/>
              </w:rPr>
              <w:t>10000</w:t>
            </w:r>
            <w:r>
              <w:rPr>
                <w:rFonts w:hint="eastAsia" w:hAnsi="宋体" w:eastAsia="宋体" w:cs="宋体"/>
                <w:kern w:val="0"/>
                <w:sz w:val="21"/>
                <w:szCs w:val="21"/>
              </w:rPr>
              <w:t>万元，改扩建殡葬基础设施</w:t>
            </w:r>
            <w:r>
              <w:rPr>
                <w:rFonts w:eastAsia="宋体"/>
                <w:kern w:val="0"/>
                <w:sz w:val="21"/>
                <w:szCs w:val="21"/>
              </w:rPr>
              <w:t>200</w:t>
            </w:r>
            <w:r>
              <w:rPr>
                <w:rFonts w:hint="eastAsia" w:hAnsi="宋体" w:eastAsia="宋体" w:cs="宋体"/>
                <w:kern w:val="0"/>
                <w:sz w:val="21"/>
                <w:szCs w:val="21"/>
              </w:rPr>
              <w:t>－</w:t>
            </w:r>
            <w:r>
              <w:rPr>
                <w:rFonts w:eastAsia="宋体"/>
                <w:kern w:val="0"/>
                <w:sz w:val="21"/>
                <w:szCs w:val="21"/>
              </w:rPr>
              <w:t>800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所。</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1734"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社会工作和志愿者服务项目社区社会工作服务站建设成本，社工人才队伍培训建设成本</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支持社会工作和志愿者服务项目社区社会工作服务站（室）</w:t>
            </w:r>
            <w:r>
              <w:rPr>
                <w:rFonts w:eastAsia="宋体"/>
                <w:kern w:val="0"/>
                <w:sz w:val="21"/>
                <w:szCs w:val="21"/>
              </w:rPr>
              <w:t>3</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个，社工人才队伍培训</w:t>
            </w:r>
            <w:r>
              <w:rPr>
                <w:rFonts w:eastAsia="宋体"/>
                <w:kern w:val="0"/>
                <w:sz w:val="21"/>
                <w:szCs w:val="21"/>
              </w:rPr>
              <w:t>5</w:t>
            </w:r>
            <w:r>
              <w:rPr>
                <w:rFonts w:hint="eastAsia" w:hAnsi="宋体" w:eastAsia="宋体" w:cs="宋体"/>
                <w:kern w:val="0"/>
                <w:sz w:val="21"/>
                <w:szCs w:val="21"/>
              </w:rPr>
              <w:t>－</w:t>
            </w:r>
            <w:r>
              <w:rPr>
                <w:rFonts w:eastAsia="宋体"/>
                <w:kern w:val="0"/>
                <w:sz w:val="21"/>
                <w:szCs w:val="21"/>
              </w:rPr>
              <w:t>10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个</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支持社会工作和志愿者服务项目社区社会工作服务站（室）</w:t>
            </w:r>
            <w:r>
              <w:rPr>
                <w:rFonts w:eastAsia="宋体"/>
                <w:kern w:val="0"/>
                <w:sz w:val="21"/>
                <w:szCs w:val="21"/>
              </w:rPr>
              <w:t>3</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个，社工人才队伍培训</w:t>
            </w:r>
            <w:r>
              <w:rPr>
                <w:rFonts w:eastAsia="宋体"/>
                <w:kern w:val="0"/>
                <w:sz w:val="21"/>
                <w:szCs w:val="21"/>
              </w:rPr>
              <w:t>5</w:t>
            </w:r>
            <w:r>
              <w:rPr>
                <w:rFonts w:hint="eastAsia" w:hAnsi="宋体" w:eastAsia="宋体" w:cs="宋体"/>
                <w:kern w:val="0"/>
                <w:sz w:val="21"/>
                <w:szCs w:val="21"/>
              </w:rPr>
              <w:t>－</w:t>
            </w:r>
            <w:r>
              <w:rPr>
                <w:rFonts w:eastAsia="宋体"/>
                <w:kern w:val="0"/>
                <w:sz w:val="21"/>
                <w:szCs w:val="21"/>
              </w:rPr>
              <w:t>10</w:t>
            </w:r>
            <w:r>
              <w:rPr>
                <w:rFonts w:hint="eastAsia" w:hAnsi="宋体" w:eastAsia="宋体" w:cs="宋体"/>
                <w:kern w:val="0"/>
                <w:sz w:val="21"/>
                <w:szCs w:val="21"/>
              </w:rPr>
              <w:t>万元</w:t>
            </w:r>
            <w:r>
              <w:rPr>
                <w:rFonts w:eastAsia="宋体"/>
                <w:kern w:val="0"/>
                <w:sz w:val="21"/>
                <w:szCs w:val="21"/>
              </w:rPr>
              <w:t>/</w:t>
            </w:r>
            <w:r>
              <w:rPr>
                <w:rFonts w:hint="eastAsia" w:hAnsi="宋体" w:eastAsia="宋体" w:cs="宋体"/>
                <w:kern w:val="0"/>
                <w:sz w:val="21"/>
                <w:szCs w:val="21"/>
              </w:rPr>
              <w:t>个</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3</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效益指标</w:t>
            </w:r>
            <w:r>
              <w:rPr>
                <w:rFonts w:eastAsia="宋体"/>
                <w:kern w:val="0"/>
                <w:sz w:val="21"/>
                <w:szCs w:val="21"/>
              </w:rPr>
              <w:br w:type="textWrapping"/>
            </w:r>
            <w:r>
              <w:rPr>
                <w:rFonts w:hint="eastAsia" w:hAnsi="宋体" w:eastAsia="宋体" w:cs="宋体"/>
                <w:kern w:val="0"/>
                <w:sz w:val="21"/>
                <w:szCs w:val="21"/>
              </w:rPr>
              <w:t>（</w:t>
            </w:r>
            <w:r>
              <w:rPr>
                <w:rFonts w:eastAsia="宋体"/>
                <w:kern w:val="0"/>
                <w:sz w:val="21"/>
                <w:szCs w:val="21"/>
              </w:rPr>
              <w:t>30</w:t>
            </w:r>
            <w:r>
              <w:rPr>
                <w:rFonts w:hint="eastAsia" w:hAnsi="宋体" w:eastAsia="宋体" w:cs="宋体"/>
                <w:kern w:val="0"/>
                <w:sz w:val="21"/>
                <w:szCs w:val="21"/>
              </w:rPr>
              <w:t>分）</w:t>
            </w:r>
          </w:p>
        </w:tc>
        <w:tc>
          <w:tcPr>
            <w:tcW w:w="34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经济效益</w:t>
            </w:r>
          </w:p>
        </w:tc>
        <w:tc>
          <w:tcPr>
            <w:tcW w:w="926"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项目实施所产生的经济效益。</w:t>
            </w:r>
          </w:p>
        </w:tc>
        <w:tc>
          <w:tcPr>
            <w:tcW w:w="872"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为农村困难的五保户和农村特困家庭提供兜底保障服务，为城乡生活困难和失能失智老年人及困难家庭提供服务，为生活无着落未成年人提供临时救助和保护</w:t>
            </w:r>
          </w:p>
        </w:tc>
        <w:tc>
          <w:tcPr>
            <w:tcW w:w="1160"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视情况酌情给分</w:t>
            </w:r>
          </w:p>
        </w:tc>
        <w:tc>
          <w:tcPr>
            <w:tcW w:w="304"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w:t>
            </w:r>
          </w:p>
        </w:tc>
        <w:tc>
          <w:tcPr>
            <w:tcW w:w="25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7</w:t>
            </w:r>
          </w:p>
        </w:tc>
        <w:tc>
          <w:tcPr>
            <w:tcW w:w="382"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有待加强</w:t>
            </w:r>
          </w:p>
        </w:tc>
      </w:tr>
      <w:tr>
        <w:tblPrEx>
          <w:tblCellMar>
            <w:top w:w="0" w:type="dxa"/>
            <w:left w:w="0" w:type="dxa"/>
            <w:bottom w:w="0" w:type="dxa"/>
            <w:right w:w="0" w:type="dxa"/>
          </w:tblCellMar>
        </w:tblPrEx>
        <w:trPr>
          <w:trHeight w:val="84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872"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p>
        </w:tc>
        <w:tc>
          <w:tcPr>
            <w:tcW w:w="1160"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04"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25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82"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180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社会效益</w:t>
            </w: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项目实施所产生的社会效益。</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对城乡低保户、</w:t>
            </w:r>
            <w:r>
              <w:rPr>
                <w:rFonts w:eastAsia="宋体"/>
                <w:kern w:val="0"/>
                <w:sz w:val="21"/>
                <w:szCs w:val="21"/>
              </w:rPr>
              <w:t>“</w:t>
            </w:r>
            <w:r>
              <w:rPr>
                <w:rFonts w:hint="eastAsia" w:hAnsi="宋体" w:eastAsia="宋体" w:cs="宋体"/>
                <w:kern w:val="0"/>
                <w:sz w:val="21"/>
                <w:szCs w:val="21"/>
              </w:rPr>
              <w:t>三无人员</w:t>
            </w:r>
            <w:r>
              <w:rPr>
                <w:rFonts w:eastAsia="宋体"/>
                <w:kern w:val="0"/>
                <w:sz w:val="21"/>
                <w:szCs w:val="21"/>
              </w:rPr>
              <w:t>”</w:t>
            </w:r>
            <w:r>
              <w:rPr>
                <w:rFonts w:hint="eastAsia" w:hAnsi="宋体" w:eastAsia="宋体" w:cs="宋体"/>
                <w:kern w:val="0"/>
                <w:sz w:val="21"/>
                <w:szCs w:val="21"/>
              </w:rPr>
              <w:t>、困难优抚对象、五保供养老人减免基本火化、消毒、遗体接运和冷冻等殡葬服务费。对选择树葬、草坪葬的低保户实行免费，引导群众采用环保低碳的方式安放亲人骨灰，节约殡葬用地。引导和带动社会工作专业人才队伍、志愿者队伍和社会工作服务机构、志愿服务组织建设</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视情况酌情给分</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90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可持续影响指标</w:t>
            </w:r>
          </w:p>
        </w:tc>
        <w:tc>
          <w:tcPr>
            <w:tcW w:w="92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项目实施所产生的可持续影响力。</w:t>
            </w:r>
          </w:p>
        </w:tc>
        <w:tc>
          <w:tcPr>
            <w:tcW w:w="87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rPr>
                <w:rFonts w:eastAsia="宋体"/>
                <w:kern w:val="0"/>
                <w:sz w:val="21"/>
                <w:szCs w:val="21"/>
              </w:rPr>
            </w:pPr>
            <w:r>
              <w:rPr>
                <w:rFonts w:hint="eastAsia" w:hAnsi="宋体" w:eastAsia="宋体" w:cs="宋体"/>
                <w:kern w:val="0"/>
                <w:sz w:val="21"/>
                <w:szCs w:val="21"/>
              </w:rPr>
              <w:t>按照兜底线、织密网、建机制的要求，完善社会救助、社会福利、慈善事业等制度，健全农村留守儿童和妇女、老年人关爱服务体系。</w:t>
            </w:r>
          </w:p>
        </w:tc>
        <w:tc>
          <w:tcPr>
            <w:tcW w:w="1160"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视情况酌情给分</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满意度指标（</w:t>
            </w:r>
            <w:r>
              <w:rPr>
                <w:rFonts w:eastAsia="宋体"/>
                <w:kern w:val="0"/>
                <w:sz w:val="21"/>
                <w:szCs w:val="21"/>
              </w:rPr>
              <w:t>10</w:t>
            </w:r>
            <w:r>
              <w:rPr>
                <w:rFonts w:hint="eastAsia" w:hAnsi="宋体" w:eastAsia="宋体" w:cs="宋体"/>
                <w:kern w:val="0"/>
                <w:sz w:val="21"/>
                <w:szCs w:val="21"/>
              </w:rPr>
              <w:t>分）</w:t>
            </w:r>
          </w:p>
        </w:tc>
        <w:tc>
          <w:tcPr>
            <w:tcW w:w="347" w:type="pct"/>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社会公众或服务对象满意度</w:t>
            </w: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政策知晓率</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rPr>
                <w:rFonts w:eastAsia="宋体"/>
                <w:kern w:val="0"/>
                <w:sz w:val="21"/>
                <w:szCs w:val="21"/>
              </w:rPr>
            </w:pPr>
            <w:r>
              <w:rPr>
                <w:rFonts w:eastAsia="宋体"/>
                <w:kern w:val="0"/>
                <w:sz w:val="21"/>
                <w:szCs w:val="21"/>
              </w:rPr>
              <w:t>70%</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90%</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270" w:hRule="atLeast"/>
        </w:trPr>
        <w:tc>
          <w:tcPr>
            <w:tcW w:w="39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40" w:lineRule="exact"/>
              <w:jc w:val="center"/>
              <w:rPr>
                <w:rFonts w:eastAsia="宋体"/>
                <w:kern w:val="0"/>
                <w:sz w:val="21"/>
                <w:szCs w:val="21"/>
              </w:rPr>
            </w:pPr>
          </w:p>
        </w:tc>
        <w:tc>
          <w:tcPr>
            <w:tcW w:w="363"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347" w:type="pct"/>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c>
          <w:tcPr>
            <w:tcW w:w="92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社会公众或服务对象满意度</w:t>
            </w:r>
          </w:p>
        </w:tc>
        <w:tc>
          <w:tcPr>
            <w:tcW w:w="87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rPr>
                <w:rFonts w:eastAsia="宋体"/>
                <w:kern w:val="0"/>
                <w:sz w:val="21"/>
                <w:szCs w:val="21"/>
              </w:rPr>
            </w:pPr>
            <w:r>
              <w:rPr>
                <w:rFonts w:eastAsia="宋体"/>
                <w:kern w:val="0"/>
                <w:sz w:val="21"/>
                <w:szCs w:val="21"/>
              </w:rPr>
              <w:t>80%</w:t>
            </w:r>
          </w:p>
        </w:tc>
        <w:tc>
          <w:tcPr>
            <w:tcW w:w="1160"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90%</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5</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r>
        <w:tblPrEx>
          <w:tblCellMar>
            <w:top w:w="0" w:type="dxa"/>
            <w:left w:w="0" w:type="dxa"/>
            <w:bottom w:w="0" w:type="dxa"/>
            <w:right w:w="0" w:type="dxa"/>
          </w:tblCellMar>
        </w:tblPrEx>
        <w:trPr>
          <w:trHeight w:val="378" w:hRule="atLeast"/>
        </w:trPr>
        <w:tc>
          <w:tcPr>
            <w:tcW w:w="4062" w:type="pct"/>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hint="eastAsia" w:hAnsi="宋体" w:eastAsia="宋体" w:cs="宋体"/>
                <w:kern w:val="0"/>
                <w:sz w:val="21"/>
                <w:szCs w:val="21"/>
              </w:rPr>
              <w:t>总分</w:t>
            </w:r>
          </w:p>
        </w:tc>
        <w:tc>
          <w:tcPr>
            <w:tcW w:w="30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100</w:t>
            </w:r>
          </w:p>
        </w:tc>
        <w:tc>
          <w:tcPr>
            <w:tcW w:w="25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r>
              <w:rPr>
                <w:rFonts w:eastAsia="宋体"/>
                <w:kern w:val="0"/>
                <w:sz w:val="21"/>
                <w:szCs w:val="21"/>
              </w:rPr>
              <w:t>95</w:t>
            </w:r>
          </w:p>
        </w:tc>
        <w:tc>
          <w:tcPr>
            <w:tcW w:w="38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spacing w:line="240" w:lineRule="exact"/>
              <w:jc w:val="center"/>
              <w:rPr>
                <w:rFonts w:eastAsia="宋体"/>
                <w:kern w:val="0"/>
                <w:sz w:val="21"/>
                <w:szCs w:val="21"/>
              </w:rPr>
            </w:pPr>
          </w:p>
        </w:tc>
      </w:tr>
    </w:tbl>
    <w:p>
      <w:pPr>
        <w:jc w:val="left"/>
      </w:pPr>
    </w:p>
    <w:sectPr>
      <w:footerReference r:id="rId3" w:type="default"/>
      <w:pgSz w:w="11907" w:h="16840" w:orient="landscape"/>
      <w:pgMar w:top="2155" w:right="1474" w:bottom="1361" w:left="1588" w:header="0" w:footer="1418" w:gutter="0"/>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楷体简体">
    <w:altName w:val="楷体_GB2312"/>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9"/>
        <w:sz w:val="28"/>
        <w:szCs w:val="28"/>
      </w:rPr>
    </w:pPr>
    <w:r>
      <w:rPr>
        <w:rStyle w:val="9"/>
        <w:sz w:val="28"/>
        <w:szCs w:val="28"/>
      </w:rPr>
      <w:t xml:space="preserve">— </w:t>
    </w:r>
    <w:r>
      <w:rPr>
        <w:rStyle w:val="9"/>
        <w:sz w:val="28"/>
        <w:szCs w:val="28"/>
      </w:rPr>
      <w:fldChar w:fldCharType="begin"/>
    </w:r>
    <w:r>
      <w:rPr>
        <w:rStyle w:val="9"/>
        <w:sz w:val="28"/>
        <w:szCs w:val="28"/>
      </w:rPr>
      <w:instrText xml:space="preserve">PAGE  </w:instrText>
    </w:r>
    <w:r>
      <w:rPr>
        <w:rStyle w:val="9"/>
        <w:sz w:val="28"/>
        <w:szCs w:val="28"/>
      </w:rPr>
      <w:fldChar w:fldCharType="separate"/>
    </w:r>
    <w:r>
      <w:rPr>
        <w:rStyle w:val="9"/>
        <w:sz w:val="28"/>
        <w:szCs w:val="28"/>
      </w:rPr>
      <w:t>18</w:t>
    </w:r>
    <w:r>
      <w:rPr>
        <w:rStyle w:val="9"/>
        <w:sz w:val="28"/>
        <w:szCs w:val="28"/>
      </w:rPr>
      <w:fldChar w:fldCharType="end"/>
    </w:r>
    <w:r>
      <w:rPr>
        <w:rStyle w:val="9"/>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bookFoldPrinting w:val="1"/>
  <w:bookFoldPrintingSheets w:val="0"/>
  <w:drawingGridHorizontalSpacing w:val="158"/>
  <w:drawingGridVerticalSpacing w:val="290"/>
  <w:displayHorizontalDrawingGridEvery w:val="2"/>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7CCE0F1D"/>
    <w:rsid w:val="001D4F8C"/>
    <w:rsid w:val="002C3897"/>
    <w:rsid w:val="003422E6"/>
    <w:rsid w:val="003F380D"/>
    <w:rsid w:val="00442D88"/>
    <w:rsid w:val="006D7B3F"/>
    <w:rsid w:val="009D6E81"/>
    <w:rsid w:val="00A9653E"/>
    <w:rsid w:val="00BA093F"/>
    <w:rsid w:val="00BA785C"/>
    <w:rsid w:val="00CD0C2A"/>
    <w:rsid w:val="00FA274C"/>
    <w:rsid w:val="04995EC7"/>
    <w:rsid w:val="1A9D5B1F"/>
    <w:rsid w:val="1FD33F32"/>
    <w:rsid w:val="248F46C2"/>
    <w:rsid w:val="26F105DA"/>
    <w:rsid w:val="30F94034"/>
    <w:rsid w:val="45AC3067"/>
    <w:rsid w:val="722641AB"/>
    <w:rsid w:val="75232306"/>
    <w:rsid w:val="7CCE0F1D"/>
    <w:rsid w:val="7CFE50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0"/>
    <w:semiHidden/>
    <w:uiPriority w:val="99"/>
    <w:pPr>
      <w:jc w:val="left"/>
    </w:p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8">
    <w:name w:val="Strong"/>
    <w:basedOn w:val="7"/>
    <w:qFormat/>
    <w:uiPriority w:val="99"/>
    <w:rPr>
      <w:b/>
      <w:bCs/>
    </w:rPr>
  </w:style>
  <w:style w:type="character" w:styleId="9">
    <w:name w:val="page number"/>
    <w:basedOn w:val="7"/>
    <w:qFormat/>
    <w:uiPriority w:val="99"/>
  </w:style>
  <w:style w:type="character" w:customStyle="1" w:styleId="10">
    <w:name w:val="Comment Text Char"/>
    <w:basedOn w:val="7"/>
    <w:link w:val="2"/>
    <w:semiHidden/>
    <w:qFormat/>
    <w:uiPriority w:val="99"/>
    <w:rPr>
      <w:rFonts w:eastAsia="仿宋_GB2312"/>
      <w:sz w:val="32"/>
      <w:szCs w:val="32"/>
    </w:rPr>
  </w:style>
  <w:style w:type="character" w:customStyle="1" w:styleId="11">
    <w:name w:val="Footer Char"/>
    <w:basedOn w:val="7"/>
    <w:link w:val="3"/>
    <w:semiHidden/>
    <w:qFormat/>
    <w:uiPriority w:val="99"/>
    <w:rPr>
      <w:rFonts w:eastAsia="仿宋_GB2312"/>
      <w:sz w:val="18"/>
      <w:szCs w:val="18"/>
    </w:rPr>
  </w:style>
  <w:style w:type="character" w:customStyle="1" w:styleId="12">
    <w:name w:val="Header Char"/>
    <w:basedOn w:val="7"/>
    <w:link w:val="4"/>
    <w:semiHidden/>
    <w:qFormat/>
    <w:uiPriority w:val="99"/>
    <w:rPr>
      <w:rFonts w:eastAsia="仿宋_GB231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19</Pages>
  <Words>2042</Words>
  <Characters>11645</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2020-06-02T01:25:00Z</dcterms:created>
  <dc:creator>1402836399</dc:creator>
  <cp:lastModifiedBy>Administrator</cp:lastModifiedBy>
  <cp:lastPrinted>2020-06-08T11:07:00Z</cp:lastPrinted>
  <dcterms:modified xsi:type="dcterms:W3CDTF">2020-06-15T07:22:14Z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