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7"/>
        <w:tblW w:w="8713" w:type="dxa"/>
        <w:jc w:val="center"/>
        <w:tblInd w:w="0" w:type="dxa"/>
        <w:tblBorders>
          <w:top w:val="none" w:color="auto" w:sz="0" w:space="0"/>
          <w:left w:val="none" w:color="auto" w:sz="0" w:space="0"/>
          <w:bottom w:val="single" w:color="FF0000" w:sz="8"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713"/>
      </w:tblGrid>
      <w:tr>
        <w:tblPrEx>
          <w:tblBorders>
            <w:top w:val="none" w:color="auto" w:sz="0" w:space="0"/>
            <w:left w:val="none" w:color="auto" w:sz="0" w:space="0"/>
            <w:bottom w:val="single" w:color="FF0000" w:sz="8"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897" w:hRule="atLeast"/>
          <w:jc w:val="center"/>
        </w:trPr>
        <w:tc>
          <w:tcPr>
            <w:tcW w:w="8713" w:type="dxa"/>
            <w:tcBorders>
              <w:bottom w:val="single" w:color="FF0000" w:sz="8" w:space="0"/>
            </w:tcBorders>
          </w:tcPr>
          <w:p>
            <w:pPr>
              <w:spacing w:line="1200" w:lineRule="exact"/>
              <w:jc w:val="center"/>
              <w:rPr>
                <w:rFonts w:eastAsia="方正小标宋简体" w:cs="Times New Roman"/>
                <w:color w:val="FF0000"/>
                <w:w w:val="68"/>
                <w:sz w:val="110"/>
                <w:szCs w:val="110"/>
              </w:rPr>
            </w:pPr>
            <w:r>
              <w:rPr>
                <w:rFonts w:hint="eastAsia" w:eastAsia="方正小标宋简体" w:cs="方正小标宋简体"/>
                <w:color w:val="FF0000"/>
                <w:spacing w:val="250"/>
                <w:w w:val="68"/>
                <w:sz w:val="116"/>
                <w:szCs w:val="116"/>
              </w:rPr>
              <w:t>湖南省民政</w:t>
            </w:r>
            <w:r>
              <w:rPr>
                <w:rFonts w:hint="eastAsia" w:eastAsia="方正小标宋简体" w:cs="方正小标宋简体"/>
                <w:color w:val="FF0000"/>
                <w:w w:val="68"/>
                <w:sz w:val="116"/>
                <w:szCs w:val="116"/>
              </w:rPr>
              <w:t>厅</w:t>
            </w:r>
          </w:p>
        </w:tc>
      </w:tr>
    </w:tbl>
    <w:p>
      <w:pPr>
        <w:spacing w:line="580" w:lineRule="exact"/>
        <w:rPr>
          <w:rFonts w:ascii="Times New Roman" w:hAnsi="Times New Roman" w:eastAsia="方正小标宋简体" w:cs="Times New Roman"/>
          <w:color w:val="FFFFFF"/>
          <w:sz w:val="44"/>
          <w:szCs w:val="44"/>
        </w:rPr>
      </w:pPr>
    </w:p>
    <w:p>
      <w:pPr>
        <w:spacing w:line="580" w:lineRule="exact"/>
        <w:jc w:val="right"/>
        <w:rPr>
          <w:rFonts w:ascii="Times New Roman" w:hAnsi="Times New Roman" w:eastAsia="仿宋_GB2312" w:cs="Times New Roman"/>
          <w:color w:val="000000"/>
          <w:sz w:val="32"/>
          <w:szCs w:val="32"/>
        </w:rPr>
      </w:pPr>
      <w:r>
        <w:rPr>
          <w:rFonts w:hint="eastAsia" w:ascii="Times New Roman" w:hAnsi="Times New Roman" w:eastAsia="仿宋_GB2312" w:cs="仿宋_GB2312"/>
          <w:color w:val="000000"/>
          <w:sz w:val="32"/>
          <w:szCs w:val="32"/>
        </w:rPr>
        <w:t>湘民函〔</w:t>
      </w:r>
      <w:r>
        <w:rPr>
          <w:rFonts w:ascii="Times New Roman" w:hAnsi="Times New Roman" w:eastAsia="仿宋_GB2312" w:cs="Times New Roman"/>
          <w:color w:val="000000"/>
          <w:sz w:val="32"/>
          <w:szCs w:val="32"/>
        </w:rPr>
        <w:t>2019</w:t>
      </w:r>
      <w:r>
        <w:rPr>
          <w:rFonts w:hint="eastAsia" w:ascii="Times New Roman" w:hAnsi="Times New Roman" w:eastAsia="仿宋_GB2312" w:cs="仿宋_GB2312"/>
          <w:color w:val="000000"/>
          <w:sz w:val="32"/>
          <w:szCs w:val="32"/>
        </w:rPr>
        <w:t>〕</w:t>
      </w:r>
      <w:r>
        <w:rPr>
          <w:rFonts w:ascii="Times New Roman" w:hAnsi="Times New Roman" w:eastAsia="仿宋_GB2312" w:cs="Times New Roman"/>
          <w:color w:val="000000"/>
          <w:sz w:val="32"/>
          <w:szCs w:val="32"/>
        </w:rPr>
        <w:t>13</w:t>
      </w:r>
      <w:r>
        <w:rPr>
          <w:rFonts w:hint="eastAsia" w:ascii="Times New Roman" w:hAnsi="Times New Roman" w:eastAsia="仿宋_GB2312" w:cs="仿宋_GB2312"/>
          <w:color w:val="000000"/>
          <w:sz w:val="32"/>
          <w:szCs w:val="32"/>
        </w:rPr>
        <w:t>号</w:t>
      </w:r>
    </w:p>
    <w:p>
      <w:pPr>
        <w:spacing w:line="580" w:lineRule="exact"/>
        <w:jc w:val="right"/>
        <w:rPr>
          <w:rFonts w:ascii="Times New Roman" w:hAnsi="Times New Roman" w:eastAsia="方正小标宋简体" w:cs="Times New Roman"/>
          <w:color w:val="000000"/>
          <w:sz w:val="44"/>
          <w:szCs w:val="44"/>
        </w:rPr>
      </w:pPr>
    </w:p>
    <w:p>
      <w:pPr>
        <w:spacing w:line="580" w:lineRule="exact"/>
        <w:jc w:val="center"/>
        <w:rPr>
          <w:rFonts w:ascii="Times New Roman" w:hAnsi="Times New Roman" w:eastAsia="方正小标宋简体" w:cs="Times New Roman"/>
          <w:color w:val="000000"/>
          <w:sz w:val="44"/>
          <w:szCs w:val="44"/>
        </w:rPr>
      </w:pPr>
      <w:bookmarkStart w:id="0" w:name="_GoBack"/>
      <w:r>
        <w:rPr>
          <w:rFonts w:hint="eastAsia" w:ascii="Times New Roman" w:hAnsi="Times New Roman" w:eastAsia="方正小标宋简体" w:cs="方正小标宋简体"/>
          <w:color w:val="000000"/>
          <w:sz w:val="44"/>
          <w:szCs w:val="44"/>
        </w:rPr>
        <w:t>湖南省民政厅关于印发《</w:t>
      </w:r>
      <w:r>
        <w:rPr>
          <w:rFonts w:ascii="Times New Roman" w:hAnsi="Times New Roman" w:eastAsia="方正小标宋简体" w:cs="Times New Roman"/>
          <w:color w:val="000000"/>
          <w:sz w:val="44"/>
          <w:szCs w:val="44"/>
        </w:rPr>
        <w:t>2019</w:t>
      </w:r>
      <w:r>
        <w:rPr>
          <w:rFonts w:hint="eastAsia" w:ascii="Times New Roman" w:hAnsi="Times New Roman" w:eastAsia="方正小标宋简体" w:cs="方正小标宋简体"/>
          <w:color w:val="000000"/>
          <w:sz w:val="44"/>
          <w:szCs w:val="44"/>
        </w:rPr>
        <w:t>年度</w:t>
      </w:r>
    </w:p>
    <w:p>
      <w:pPr>
        <w:spacing w:line="580" w:lineRule="exact"/>
        <w:jc w:val="center"/>
        <w:rPr>
          <w:rFonts w:ascii="Times New Roman" w:hAnsi="Times New Roman" w:eastAsia="方正小标宋简体" w:cs="Times New Roman"/>
          <w:color w:val="000000"/>
          <w:sz w:val="44"/>
          <w:szCs w:val="44"/>
        </w:rPr>
      </w:pPr>
      <w:r>
        <w:rPr>
          <w:rFonts w:hint="eastAsia" w:ascii="Times New Roman" w:hAnsi="Times New Roman" w:eastAsia="方正小标宋简体" w:cs="方正小标宋简体"/>
          <w:color w:val="000000"/>
          <w:sz w:val="44"/>
          <w:szCs w:val="44"/>
        </w:rPr>
        <w:t>五化民政建设评估指标》的通知</w:t>
      </w:r>
    </w:p>
    <w:bookmarkEnd w:id="0"/>
    <w:p>
      <w:pPr>
        <w:spacing w:line="580" w:lineRule="exact"/>
        <w:rPr>
          <w:rFonts w:ascii="Times New Roman" w:hAnsi="Times New Roman" w:cs="Times New Roman"/>
          <w:color w:val="000000"/>
        </w:rPr>
      </w:pPr>
    </w:p>
    <w:p>
      <w:pPr>
        <w:spacing w:line="580" w:lineRule="exact"/>
        <w:rPr>
          <w:rFonts w:ascii="Times New Roman" w:hAnsi="Times New Roman" w:eastAsia="仿宋" w:cs="Times New Roman"/>
          <w:color w:val="000000"/>
          <w:sz w:val="32"/>
          <w:szCs w:val="32"/>
        </w:rPr>
      </w:pPr>
      <w:r>
        <w:rPr>
          <w:rFonts w:hint="eastAsia" w:ascii="Times New Roman" w:hAnsi="仿宋" w:eastAsia="仿宋" w:cs="仿宋"/>
          <w:color w:val="000000"/>
          <w:sz w:val="32"/>
          <w:szCs w:val="32"/>
        </w:rPr>
        <w:t>各市州、县市区民政局，厅机关各处室局、直属单位：</w:t>
      </w:r>
    </w:p>
    <w:p>
      <w:pPr>
        <w:spacing w:line="580" w:lineRule="exact"/>
        <w:ind w:firstLine="640" w:firstLineChars="200"/>
        <w:rPr>
          <w:rFonts w:ascii="Times New Roman" w:hAnsi="Times New Roman" w:eastAsia="仿宋" w:cs="Times New Roman"/>
          <w:color w:val="000000"/>
          <w:sz w:val="32"/>
          <w:szCs w:val="32"/>
        </w:rPr>
      </w:pPr>
      <w:r>
        <w:rPr>
          <w:rFonts w:hint="eastAsia" w:ascii="Times New Roman" w:hAnsi="仿宋" w:eastAsia="仿宋" w:cs="仿宋"/>
          <w:color w:val="000000"/>
          <w:sz w:val="32"/>
          <w:szCs w:val="32"/>
        </w:rPr>
        <w:t>为深入贯彻落实习近平总书记对民政工作重要指示精神和第十四次全国民政会议精神，全面深入推进五化民政建设，实现湖南民政事业高质量发展，经厅长办公会审定，现将《</w:t>
      </w:r>
      <w:r>
        <w:rPr>
          <w:rFonts w:ascii="Times New Roman" w:hAnsi="Times New Roman" w:eastAsia="仿宋" w:cs="Times New Roman"/>
          <w:color w:val="000000"/>
          <w:sz w:val="32"/>
          <w:szCs w:val="32"/>
        </w:rPr>
        <w:t>2019</w:t>
      </w:r>
      <w:r>
        <w:rPr>
          <w:rFonts w:hint="eastAsia" w:ascii="Times New Roman" w:hAnsi="仿宋" w:eastAsia="仿宋" w:cs="仿宋"/>
          <w:color w:val="000000"/>
          <w:sz w:val="32"/>
          <w:szCs w:val="32"/>
        </w:rPr>
        <w:t>年度五化民政建设评估指标》印发你们，请认真组织实施，并提出以下要求：</w:t>
      </w:r>
    </w:p>
    <w:p>
      <w:pPr>
        <w:spacing w:line="580" w:lineRule="exact"/>
        <w:ind w:firstLine="640" w:firstLineChars="200"/>
        <w:rPr>
          <w:rFonts w:ascii="Times New Roman" w:hAnsi="Times New Roman" w:eastAsia="仿宋" w:cs="Times New Roman"/>
          <w:color w:val="000000"/>
          <w:sz w:val="32"/>
          <w:szCs w:val="32"/>
        </w:rPr>
      </w:pPr>
      <w:r>
        <w:rPr>
          <w:rFonts w:hint="eastAsia" w:ascii="黑体" w:hAnsi="楷体" w:eastAsia="黑体" w:cs="黑体"/>
          <w:color w:val="000000"/>
          <w:sz w:val="32"/>
          <w:szCs w:val="32"/>
        </w:rPr>
        <w:t>一、加强组织领导。</w:t>
      </w:r>
      <w:r>
        <w:rPr>
          <w:rFonts w:hint="eastAsia" w:ascii="Times New Roman" w:hAnsi="仿宋" w:eastAsia="仿宋" w:cs="仿宋"/>
          <w:color w:val="000000"/>
          <w:sz w:val="32"/>
          <w:szCs w:val="32"/>
        </w:rPr>
        <w:t>各地要认真组织学习，主动向党委政府汇报，争取党政重视和部门支持，形成工作合力。市州民政局要加强对辖区内五化民政建设整体推进县和开展单项创新实验工作县的指导，加大政策、资金、项目、人才等方面支持力度。县市区民政局要强化担当，做到科学谋划、分工明确、责任到人。</w:t>
      </w:r>
    </w:p>
    <w:p>
      <w:pPr>
        <w:spacing w:line="580" w:lineRule="exact"/>
        <w:ind w:firstLine="640" w:firstLineChars="200"/>
        <w:rPr>
          <w:rFonts w:ascii="Times New Roman" w:hAnsi="Times New Roman" w:eastAsia="仿宋" w:cs="Times New Roman"/>
          <w:color w:val="000000"/>
          <w:sz w:val="32"/>
          <w:szCs w:val="32"/>
        </w:rPr>
      </w:pPr>
      <w:r>
        <w:rPr>
          <w:rFonts w:hint="eastAsia" w:ascii="黑体" w:hAnsi="楷体" w:eastAsia="黑体" w:cs="黑体"/>
          <w:color w:val="000000"/>
          <w:sz w:val="32"/>
          <w:szCs w:val="32"/>
        </w:rPr>
        <w:t>二、全面深入推进。</w:t>
      </w:r>
      <w:r>
        <w:rPr>
          <w:rFonts w:hint="eastAsia" w:ascii="Times New Roman" w:hAnsi="仿宋" w:eastAsia="仿宋" w:cs="仿宋"/>
          <w:color w:val="000000"/>
          <w:sz w:val="32"/>
          <w:szCs w:val="32"/>
        </w:rPr>
        <w:t>要按照</w:t>
      </w:r>
      <w:r>
        <w:rPr>
          <w:rFonts w:ascii="Times New Roman" w:hAnsi="Times New Roman" w:eastAsia="仿宋" w:cs="Times New Roman"/>
          <w:color w:val="000000"/>
          <w:sz w:val="32"/>
          <w:szCs w:val="32"/>
        </w:rPr>
        <w:t>“</w:t>
      </w:r>
      <w:r>
        <w:rPr>
          <w:rFonts w:hint="eastAsia" w:ascii="Times New Roman" w:hAnsi="仿宋" w:eastAsia="仿宋" w:cs="仿宋"/>
          <w:color w:val="000000"/>
          <w:sz w:val="32"/>
          <w:szCs w:val="32"/>
        </w:rPr>
        <w:t>突出重点和全面推进</w:t>
      </w:r>
      <w:r>
        <w:rPr>
          <w:rFonts w:ascii="Times New Roman" w:hAnsi="Times New Roman" w:eastAsia="仿宋" w:cs="Times New Roman"/>
          <w:color w:val="000000"/>
          <w:sz w:val="32"/>
          <w:szCs w:val="32"/>
        </w:rPr>
        <w:t>”</w:t>
      </w:r>
      <w:r>
        <w:rPr>
          <w:rFonts w:hint="eastAsia" w:ascii="Times New Roman" w:hAnsi="仿宋" w:eastAsia="仿宋" w:cs="仿宋"/>
          <w:color w:val="000000"/>
          <w:sz w:val="32"/>
          <w:szCs w:val="32"/>
        </w:rPr>
        <w:t>相结合、</w:t>
      </w:r>
      <w:r>
        <w:rPr>
          <w:rFonts w:ascii="Times New Roman" w:hAnsi="Times New Roman" w:eastAsia="仿宋" w:cs="Times New Roman"/>
          <w:color w:val="000000"/>
          <w:sz w:val="32"/>
          <w:szCs w:val="32"/>
        </w:rPr>
        <w:t>“</w:t>
      </w:r>
      <w:r>
        <w:rPr>
          <w:rFonts w:hint="eastAsia" w:ascii="Times New Roman" w:hAnsi="仿宋" w:eastAsia="仿宋" w:cs="仿宋"/>
          <w:color w:val="000000"/>
          <w:sz w:val="32"/>
          <w:szCs w:val="32"/>
        </w:rPr>
        <w:t>规定动作和自选动作</w:t>
      </w:r>
      <w:r>
        <w:rPr>
          <w:rFonts w:ascii="Times New Roman" w:hAnsi="Times New Roman" w:eastAsia="仿宋" w:cs="Times New Roman"/>
          <w:color w:val="000000"/>
          <w:sz w:val="32"/>
          <w:szCs w:val="32"/>
        </w:rPr>
        <w:t>”</w:t>
      </w:r>
      <w:r>
        <w:rPr>
          <w:rFonts w:hint="eastAsia" w:ascii="Times New Roman" w:hAnsi="仿宋" w:eastAsia="仿宋" w:cs="仿宋"/>
          <w:color w:val="000000"/>
          <w:sz w:val="32"/>
          <w:szCs w:val="32"/>
        </w:rPr>
        <w:t>相结合的原则，全面推进五化民政建设。省厅已经明确的</w:t>
      </w:r>
      <w:r>
        <w:rPr>
          <w:rFonts w:ascii="Times New Roman" w:hAnsi="Times New Roman" w:eastAsia="仿宋" w:cs="Times New Roman"/>
          <w:color w:val="000000"/>
          <w:sz w:val="32"/>
          <w:szCs w:val="32"/>
        </w:rPr>
        <w:t>27</w:t>
      </w:r>
      <w:r>
        <w:rPr>
          <w:rFonts w:hint="eastAsia" w:ascii="Times New Roman" w:hAnsi="仿宋" w:eastAsia="仿宋" w:cs="仿宋"/>
          <w:color w:val="000000"/>
          <w:sz w:val="32"/>
          <w:szCs w:val="32"/>
        </w:rPr>
        <w:t>个重点县市区是今年的重点评估单位，要在</w:t>
      </w:r>
      <w:r>
        <w:rPr>
          <w:rFonts w:ascii="Times New Roman" w:hAnsi="仿宋" w:eastAsia="仿宋" w:cs="Times New Roman"/>
          <w:color w:val="000000"/>
          <w:sz w:val="32"/>
          <w:szCs w:val="32"/>
        </w:rPr>
        <w:t>11</w:t>
      </w:r>
      <w:r>
        <w:rPr>
          <w:rFonts w:hint="eastAsia" w:ascii="Times New Roman" w:hAnsi="仿宋" w:eastAsia="仿宋" w:cs="仿宋"/>
          <w:color w:val="000000"/>
          <w:sz w:val="32"/>
          <w:szCs w:val="32"/>
        </w:rPr>
        <w:t>月底前基本完成综合性指标和</w:t>
      </w:r>
      <w:r>
        <w:rPr>
          <w:rFonts w:ascii="Times New Roman" w:hAnsi="Times New Roman" w:eastAsia="仿宋" w:cs="Times New Roman"/>
          <w:color w:val="000000"/>
          <w:sz w:val="32"/>
          <w:szCs w:val="32"/>
        </w:rPr>
        <w:t>1</w:t>
      </w:r>
      <w:r>
        <w:rPr>
          <w:rFonts w:hint="eastAsia" w:ascii="Times New Roman" w:hAnsi="仿宋" w:eastAsia="仿宋" w:cs="仿宋"/>
          <w:color w:val="000000"/>
          <w:sz w:val="32"/>
          <w:szCs w:val="32"/>
        </w:rPr>
        <w:t>个自选创新实验主题工作；其它县市区（含</w:t>
      </w:r>
      <w:r>
        <w:rPr>
          <w:rFonts w:ascii="Times New Roman" w:hAnsi="仿宋" w:eastAsia="仿宋" w:cs="Times New Roman"/>
          <w:color w:val="000000"/>
          <w:sz w:val="32"/>
          <w:szCs w:val="32"/>
        </w:rPr>
        <w:t>2017-2018</w:t>
      </w:r>
      <w:r>
        <w:rPr>
          <w:rFonts w:hint="eastAsia" w:ascii="Times New Roman" w:hAnsi="仿宋" w:eastAsia="仿宋" w:cs="仿宋"/>
          <w:color w:val="000000"/>
          <w:sz w:val="32"/>
          <w:szCs w:val="32"/>
        </w:rPr>
        <w:t>年度五化民政建设先进县市区）要积极参与，结合本地实际，选择整体推进或者单项工作创新方式开展五化民政建设，经县市区自评、市州审核，符合五化民政建设年度工作或者单项创新工作要求的，可在开展评估前</w:t>
      </w:r>
      <w:r>
        <w:rPr>
          <w:rFonts w:ascii="Times New Roman" w:hAnsi="Times New Roman" w:eastAsia="仿宋" w:cs="Times New Roman"/>
          <w:color w:val="000000"/>
          <w:sz w:val="32"/>
          <w:szCs w:val="32"/>
        </w:rPr>
        <w:t>1</w:t>
      </w:r>
      <w:r>
        <w:rPr>
          <w:rFonts w:hint="eastAsia" w:ascii="Times New Roman" w:hAnsi="仿宋" w:eastAsia="仿宋" w:cs="仿宋"/>
          <w:color w:val="000000"/>
          <w:sz w:val="32"/>
          <w:szCs w:val="32"/>
        </w:rPr>
        <w:t>个月向省厅提出申请，纳入今年的评估范围。</w:t>
      </w:r>
      <w:r>
        <w:rPr>
          <w:rFonts w:hint="eastAsia" w:ascii="Times New Roman" w:hAnsi="Times New Roman" w:eastAsia="仿宋" w:cs="仿宋"/>
          <w:color w:val="000000"/>
          <w:sz w:val="32"/>
          <w:szCs w:val="32"/>
        </w:rPr>
        <w:t>省厅将根据评估结果，设立“五化民政建设先进县（市区）”、“五化民政建设进步县（市区）”和“五化民政建设单项创新工作先进县（市区）”，对获得以上称号的，省厅将在工作试点、项目建设、资金分配上给与重点支持。</w:t>
      </w:r>
    </w:p>
    <w:p>
      <w:pPr>
        <w:spacing w:line="580" w:lineRule="exact"/>
        <w:ind w:firstLine="640" w:firstLineChars="200"/>
        <w:rPr>
          <w:rFonts w:ascii="Times New Roman" w:hAnsi="仿宋" w:eastAsia="仿宋" w:cs="Times New Roman"/>
          <w:color w:val="000000"/>
          <w:sz w:val="32"/>
          <w:szCs w:val="32"/>
        </w:rPr>
      </w:pPr>
      <w:r>
        <w:rPr>
          <w:rFonts w:hint="eastAsia" w:ascii="黑体" w:hAnsi="楷体" w:eastAsia="黑体" w:cs="黑体"/>
          <w:color w:val="000000"/>
          <w:sz w:val="32"/>
          <w:szCs w:val="32"/>
        </w:rPr>
        <w:t>三、认真组织实施。</w:t>
      </w:r>
      <w:r>
        <w:rPr>
          <w:rFonts w:hint="eastAsia" w:ascii="Times New Roman" w:hAnsi="仿宋" w:eastAsia="仿宋" w:cs="仿宋"/>
          <w:color w:val="000000"/>
          <w:sz w:val="32"/>
          <w:szCs w:val="32"/>
        </w:rPr>
        <w:t>选择整体推进的县市区，尤其是今年被省厅确定为五化民政建设重点县市区，要对照建设指标，认真撰写五化民政建设实施方案和创新实验主题建设方案；选择开展单项工作创新的县市区，要对照实验主题，按照把握规律、完善机制、构建体系的要求，认真撰写单项工作创新实验方案。五化民政建设实施方案和单项工作创新实验方案内容要包括建设目标、建设任务（政策清单、项目清单、资金投入清单）、保障措施、时间进度等，于</w:t>
      </w:r>
      <w:r>
        <w:rPr>
          <w:rFonts w:ascii="Times New Roman" w:hAnsi="Times New Roman" w:eastAsia="仿宋" w:cs="Times New Roman"/>
          <w:color w:val="000000"/>
          <w:sz w:val="32"/>
          <w:szCs w:val="32"/>
        </w:rPr>
        <w:t>5</w:t>
      </w:r>
      <w:r>
        <w:rPr>
          <w:rFonts w:hint="eastAsia" w:ascii="Times New Roman" w:hAnsi="仿宋" w:eastAsia="仿宋" w:cs="仿宋"/>
          <w:color w:val="000000"/>
          <w:sz w:val="32"/>
          <w:szCs w:val="32"/>
        </w:rPr>
        <w:t>月</w:t>
      </w:r>
      <w:r>
        <w:rPr>
          <w:rFonts w:ascii="Times New Roman" w:hAnsi="Times New Roman" w:eastAsia="仿宋" w:cs="Times New Roman"/>
          <w:color w:val="000000"/>
          <w:sz w:val="32"/>
          <w:szCs w:val="32"/>
        </w:rPr>
        <w:t>30</w:t>
      </w:r>
      <w:r>
        <w:rPr>
          <w:rFonts w:hint="eastAsia" w:ascii="Times New Roman" w:hAnsi="仿宋" w:eastAsia="仿宋" w:cs="仿宋"/>
          <w:color w:val="000000"/>
          <w:sz w:val="32"/>
          <w:szCs w:val="32"/>
        </w:rPr>
        <w:t>日前报省厅政策法规处。省厅将组织评审，各地按照评审修改后的方案实施。</w:t>
      </w:r>
    </w:p>
    <w:p>
      <w:pPr>
        <w:spacing w:line="580" w:lineRule="exact"/>
        <w:ind w:firstLine="640" w:firstLineChars="200"/>
        <w:rPr>
          <w:rFonts w:ascii="Times New Roman" w:hAnsi="Times New Roman" w:eastAsia="仿宋" w:cs="Times New Roman"/>
          <w:color w:val="000000"/>
          <w:sz w:val="32"/>
          <w:szCs w:val="32"/>
        </w:rPr>
      </w:pPr>
      <w:r>
        <w:rPr>
          <w:rFonts w:hint="eastAsia" w:ascii="Times New Roman" w:hAnsi="仿宋" w:eastAsia="仿宋" w:cs="仿宋"/>
          <w:color w:val="000000"/>
          <w:sz w:val="32"/>
          <w:szCs w:val="32"/>
        </w:rPr>
        <w:t>联系人：李诗林</w:t>
      </w:r>
      <w:r>
        <w:rPr>
          <w:rFonts w:ascii="Times New Roman" w:hAnsi="Times New Roman" w:eastAsia="仿宋" w:cs="Times New Roman"/>
          <w:color w:val="000000"/>
          <w:sz w:val="32"/>
          <w:szCs w:val="32"/>
        </w:rPr>
        <w:t xml:space="preserve"> </w:t>
      </w:r>
    </w:p>
    <w:p>
      <w:pPr>
        <w:spacing w:line="580" w:lineRule="exact"/>
        <w:ind w:firstLine="640" w:firstLineChars="200"/>
        <w:rPr>
          <w:rFonts w:ascii="Times New Roman" w:hAnsi="Times New Roman" w:eastAsia="仿宋" w:cs="Times New Roman"/>
          <w:color w:val="000000"/>
          <w:sz w:val="32"/>
          <w:szCs w:val="32"/>
        </w:rPr>
      </w:pPr>
      <w:r>
        <w:rPr>
          <w:rFonts w:hint="eastAsia" w:ascii="Times New Roman" w:hAnsi="仿宋" w:eastAsia="仿宋" w:cs="仿宋"/>
          <w:color w:val="000000"/>
          <w:sz w:val="32"/>
          <w:szCs w:val="32"/>
        </w:rPr>
        <w:t>电</w:t>
      </w:r>
      <w:r>
        <w:rPr>
          <w:rFonts w:ascii="Times New Roman" w:hAnsi="仿宋" w:eastAsia="仿宋" w:cs="Times New Roman"/>
          <w:color w:val="000000"/>
          <w:sz w:val="32"/>
          <w:szCs w:val="32"/>
        </w:rPr>
        <w:t xml:space="preserve">  </w:t>
      </w:r>
      <w:r>
        <w:rPr>
          <w:rFonts w:hint="eastAsia" w:ascii="Times New Roman" w:hAnsi="仿宋" w:eastAsia="仿宋" w:cs="仿宋"/>
          <w:color w:val="000000"/>
          <w:sz w:val="32"/>
          <w:szCs w:val="32"/>
        </w:rPr>
        <w:t>话：</w:t>
      </w:r>
      <w:r>
        <w:rPr>
          <w:rFonts w:ascii="Times New Roman" w:hAnsi="Times New Roman" w:eastAsia="仿宋" w:cs="Times New Roman"/>
          <w:color w:val="000000"/>
          <w:sz w:val="32"/>
          <w:szCs w:val="32"/>
        </w:rPr>
        <w:t>0731-84502328</w:t>
      </w:r>
      <w:r>
        <w:rPr>
          <w:rFonts w:hint="eastAsia" w:ascii="Times New Roman" w:hAnsi="仿宋" w:eastAsia="仿宋" w:cs="仿宋"/>
          <w:color w:val="000000"/>
          <w:sz w:val="32"/>
          <w:szCs w:val="32"/>
        </w:rPr>
        <w:t>，</w:t>
      </w:r>
      <w:r>
        <w:rPr>
          <w:rFonts w:ascii="Times New Roman" w:hAnsi="Times New Roman" w:eastAsia="仿宋" w:cs="Times New Roman"/>
          <w:color w:val="000000"/>
          <w:sz w:val="32"/>
          <w:szCs w:val="32"/>
        </w:rPr>
        <w:t>18574396687</w:t>
      </w:r>
    </w:p>
    <w:p>
      <w:pPr>
        <w:spacing w:line="580" w:lineRule="exact"/>
        <w:ind w:firstLine="640" w:firstLineChars="200"/>
        <w:rPr>
          <w:rFonts w:ascii="Times New Roman" w:hAnsi="Times New Roman" w:eastAsia="仿宋" w:cs="Times New Roman"/>
          <w:color w:val="000000"/>
          <w:sz w:val="32"/>
          <w:szCs w:val="32"/>
        </w:rPr>
      </w:pPr>
      <w:r>
        <w:rPr>
          <w:rFonts w:hint="eastAsia" w:ascii="Times New Roman" w:hAnsi="仿宋" w:eastAsia="仿宋" w:cs="仿宋"/>
          <w:color w:val="000000"/>
          <w:sz w:val="32"/>
          <w:szCs w:val="32"/>
        </w:rPr>
        <w:t>邮</w:t>
      </w:r>
      <w:r>
        <w:rPr>
          <w:rFonts w:ascii="Times New Roman" w:hAnsi="仿宋" w:eastAsia="仿宋" w:cs="Times New Roman"/>
          <w:color w:val="000000"/>
          <w:sz w:val="32"/>
          <w:szCs w:val="32"/>
        </w:rPr>
        <w:t xml:space="preserve">  </w:t>
      </w:r>
      <w:r>
        <w:rPr>
          <w:rFonts w:hint="eastAsia" w:ascii="Times New Roman" w:hAnsi="仿宋" w:eastAsia="仿宋" w:cs="仿宋"/>
          <w:color w:val="000000"/>
          <w:sz w:val="32"/>
          <w:szCs w:val="32"/>
        </w:rPr>
        <w:t>箱：</w:t>
      </w:r>
      <w:r>
        <w:fldChar w:fldCharType="begin"/>
      </w:r>
      <w:r>
        <w:instrText xml:space="preserve"> HYPERLINK "mailto:215018838@qq.com" </w:instrText>
      </w:r>
      <w:r>
        <w:fldChar w:fldCharType="separate"/>
      </w:r>
      <w:r>
        <w:rPr>
          <w:rStyle w:val="11"/>
          <w:rFonts w:ascii="Times New Roman" w:hAnsi="Times New Roman" w:eastAsia="仿宋" w:cs="Times New Roman"/>
          <w:color w:val="000000"/>
          <w:sz w:val="32"/>
          <w:szCs w:val="32"/>
          <w:u w:val="none"/>
        </w:rPr>
        <w:t>215018838@qq.com</w:t>
      </w:r>
      <w:r>
        <w:rPr>
          <w:rStyle w:val="11"/>
          <w:rFonts w:ascii="Times New Roman" w:hAnsi="Times New Roman" w:eastAsia="仿宋" w:cs="Times New Roman"/>
          <w:color w:val="000000"/>
          <w:sz w:val="32"/>
          <w:szCs w:val="32"/>
          <w:u w:val="none"/>
        </w:rPr>
        <w:fldChar w:fldCharType="end"/>
      </w:r>
    </w:p>
    <w:p>
      <w:pPr>
        <w:spacing w:line="580" w:lineRule="exact"/>
        <w:ind w:firstLine="640" w:firstLineChars="200"/>
        <w:rPr>
          <w:rFonts w:ascii="Times New Roman" w:hAnsi="Times New Roman" w:eastAsia="仿宋" w:cs="Times New Roman"/>
          <w:color w:val="000000"/>
          <w:sz w:val="32"/>
          <w:szCs w:val="32"/>
        </w:rPr>
      </w:pPr>
      <w:r>
        <w:rPr>
          <w:rFonts w:hint="eastAsia" w:ascii="Times New Roman" w:hAnsi="仿宋" w:eastAsia="仿宋" w:cs="仿宋"/>
          <w:color w:val="000000"/>
          <w:sz w:val="32"/>
          <w:szCs w:val="32"/>
        </w:rPr>
        <w:t>附件：</w:t>
      </w:r>
      <w:r>
        <w:rPr>
          <w:rFonts w:ascii="Times New Roman" w:hAnsi="Times New Roman" w:eastAsia="仿宋" w:cs="Times New Roman"/>
          <w:color w:val="000000"/>
          <w:sz w:val="32"/>
          <w:szCs w:val="32"/>
        </w:rPr>
        <w:t>1</w:t>
      </w:r>
      <w:r>
        <w:rPr>
          <w:rFonts w:hint="eastAsia" w:ascii="Times New Roman" w:hAnsi="仿宋" w:eastAsia="仿宋" w:cs="仿宋"/>
          <w:color w:val="000000"/>
          <w:sz w:val="32"/>
          <w:szCs w:val="32"/>
        </w:rPr>
        <w:t>、</w:t>
      </w:r>
      <w:r>
        <w:rPr>
          <w:rFonts w:ascii="Times New Roman" w:hAnsi="Times New Roman" w:eastAsia="仿宋" w:cs="Times New Roman"/>
          <w:color w:val="000000"/>
          <w:sz w:val="32"/>
          <w:szCs w:val="32"/>
        </w:rPr>
        <w:t>2019</w:t>
      </w:r>
      <w:r>
        <w:rPr>
          <w:rFonts w:hint="eastAsia" w:ascii="Times New Roman" w:hAnsi="仿宋" w:eastAsia="仿宋" w:cs="仿宋"/>
          <w:color w:val="000000"/>
          <w:sz w:val="32"/>
          <w:szCs w:val="32"/>
        </w:rPr>
        <w:t>年五化民政建设评估指标</w:t>
      </w:r>
    </w:p>
    <w:p>
      <w:pPr>
        <w:spacing w:line="580" w:lineRule="exact"/>
        <w:ind w:firstLine="1600" w:firstLineChars="500"/>
        <w:rPr>
          <w:rFonts w:ascii="Times New Roman" w:hAnsi="Times New Roman" w:eastAsia="仿宋" w:cs="Times New Roman"/>
          <w:color w:val="000000"/>
          <w:sz w:val="32"/>
          <w:szCs w:val="32"/>
        </w:rPr>
      </w:pPr>
      <w:r>
        <w:rPr>
          <w:rFonts w:ascii="Times New Roman" w:hAnsi="Times New Roman" w:eastAsia="仿宋" w:cs="Times New Roman"/>
          <w:color w:val="000000"/>
          <w:sz w:val="32"/>
          <w:szCs w:val="32"/>
        </w:rPr>
        <w:t>2</w:t>
      </w:r>
      <w:r>
        <w:rPr>
          <w:rFonts w:hint="eastAsia" w:ascii="Times New Roman" w:hAnsi="仿宋" w:eastAsia="仿宋" w:cs="仿宋"/>
          <w:color w:val="000000"/>
          <w:sz w:val="32"/>
          <w:szCs w:val="32"/>
        </w:rPr>
        <w:t>、</w:t>
      </w:r>
      <w:r>
        <w:rPr>
          <w:rFonts w:ascii="Times New Roman" w:hAnsi="Times New Roman" w:eastAsia="仿宋" w:cs="Times New Roman"/>
          <w:color w:val="000000"/>
          <w:sz w:val="32"/>
          <w:szCs w:val="32"/>
        </w:rPr>
        <w:t>2019</w:t>
      </w:r>
      <w:r>
        <w:rPr>
          <w:rFonts w:hint="eastAsia" w:ascii="Times New Roman" w:hAnsi="仿宋" w:eastAsia="仿宋" w:cs="仿宋"/>
          <w:color w:val="000000"/>
          <w:sz w:val="32"/>
          <w:szCs w:val="32"/>
        </w:rPr>
        <w:t>年五化民政建设评估指标说明</w:t>
      </w:r>
    </w:p>
    <w:p>
      <w:pPr>
        <w:spacing w:line="580" w:lineRule="exact"/>
        <w:ind w:firstLine="4960" w:firstLineChars="1550"/>
        <w:rPr>
          <w:rFonts w:ascii="Times New Roman" w:hAnsi="Times New Roman" w:eastAsia="仿宋" w:cs="Times New Roman"/>
          <w:color w:val="000000"/>
          <w:sz w:val="32"/>
          <w:szCs w:val="32"/>
        </w:rPr>
      </w:pPr>
    </w:p>
    <w:p>
      <w:pPr>
        <w:spacing w:line="580" w:lineRule="exact"/>
        <w:ind w:firstLine="4960" w:firstLineChars="1550"/>
        <w:rPr>
          <w:rFonts w:ascii="Times New Roman" w:hAnsi="Times New Roman" w:eastAsia="仿宋" w:cs="Times New Roman"/>
          <w:color w:val="000000"/>
          <w:sz w:val="32"/>
          <w:szCs w:val="32"/>
        </w:rPr>
      </w:pPr>
    </w:p>
    <w:p>
      <w:pPr>
        <w:spacing w:line="580" w:lineRule="exact"/>
        <w:ind w:left="3780" w:leftChars="1800"/>
        <w:jc w:val="center"/>
        <w:rPr>
          <w:rFonts w:ascii="Times New Roman" w:hAnsi="Times New Roman" w:eastAsia="仿宋" w:cs="Times New Roman"/>
          <w:color w:val="000000"/>
          <w:sz w:val="32"/>
          <w:szCs w:val="32"/>
        </w:rPr>
      </w:pPr>
      <w:r>
        <w:rPr>
          <w:rFonts w:hint="eastAsia" w:ascii="Times New Roman" w:hAnsi="仿宋" w:eastAsia="仿宋" w:cs="仿宋"/>
          <w:color w:val="000000"/>
          <w:sz w:val="32"/>
          <w:szCs w:val="32"/>
        </w:rPr>
        <w:t>湖南省民政厅</w:t>
      </w:r>
    </w:p>
    <w:p>
      <w:pPr>
        <w:spacing w:line="580" w:lineRule="exact"/>
        <w:ind w:left="3780" w:leftChars="1800"/>
        <w:jc w:val="center"/>
        <w:rPr>
          <w:rFonts w:ascii="Times New Roman" w:hAnsi="Times New Roman" w:eastAsia="仿宋" w:cs="Times New Roman"/>
          <w:color w:val="000000"/>
          <w:sz w:val="32"/>
          <w:szCs w:val="32"/>
        </w:rPr>
      </w:pPr>
      <w:r>
        <w:rPr>
          <w:rFonts w:ascii="Times New Roman" w:hAnsi="Times New Roman" w:eastAsia="仿宋" w:cs="Times New Roman"/>
          <w:color w:val="000000"/>
          <w:sz w:val="32"/>
          <w:szCs w:val="32"/>
        </w:rPr>
        <w:t>2019</w:t>
      </w:r>
      <w:r>
        <w:rPr>
          <w:rFonts w:hint="eastAsia" w:ascii="Times New Roman" w:hAnsi="仿宋" w:eastAsia="仿宋" w:cs="仿宋"/>
          <w:color w:val="000000"/>
          <w:sz w:val="32"/>
          <w:szCs w:val="32"/>
        </w:rPr>
        <w:t>年</w:t>
      </w:r>
      <w:r>
        <w:rPr>
          <w:rFonts w:ascii="Times New Roman" w:hAnsi="Times New Roman" w:eastAsia="仿宋" w:cs="Times New Roman"/>
          <w:color w:val="000000"/>
          <w:sz w:val="32"/>
          <w:szCs w:val="32"/>
        </w:rPr>
        <w:t>5</w:t>
      </w:r>
      <w:r>
        <w:rPr>
          <w:rFonts w:hint="eastAsia" w:ascii="Times New Roman" w:hAnsi="仿宋" w:eastAsia="仿宋" w:cs="仿宋"/>
          <w:color w:val="000000"/>
          <w:sz w:val="32"/>
          <w:szCs w:val="32"/>
        </w:rPr>
        <w:t>月</w:t>
      </w:r>
      <w:r>
        <w:rPr>
          <w:rFonts w:ascii="Times New Roman" w:hAnsi="Times New Roman" w:eastAsia="仿宋" w:cs="Times New Roman"/>
          <w:color w:val="000000"/>
          <w:sz w:val="32"/>
          <w:szCs w:val="32"/>
        </w:rPr>
        <w:t>15</w:t>
      </w:r>
      <w:r>
        <w:rPr>
          <w:rFonts w:hint="eastAsia" w:ascii="Times New Roman" w:hAnsi="仿宋" w:eastAsia="仿宋" w:cs="仿宋"/>
          <w:color w:val="000000"/>
          <w:sz w:val="32"/>
          <w:szCs w:val="32"/>
        </w:rPr>
        <w:t>日</w:t>
      </w:r>
    </w:p>
    <w:p>
      <w:pPr>
        <w:rPr>
          <w:rFonts w:cs="Times New Roman"/>
        </w:rPr>
      </w:pPr>
    </w:p>
    <w:p>
      <w:pPr>
        <w:spacing w:line="580" w:lineRule="exact"/>
        <w:rPr>
          <w:rFonts w:ascii="Times New Roman" w:hAnsi="Times New Roman" w:eastAsia="黑体" w:cs="Times New Roman"/>
          <w:color w:val="000000"/>
          <w:sz w:val="32"/>
          <w:szCs w:val="32"/>
        </w:rPr>
      </w:pPr>
      <w:r>
        <w:rPr>
          <w:rFonts w:ascii="Times New Roman" w:hAnsi="Times New Roman" w:eastAsia="黑体" w:cs="Times New Roman"/>
          <w:color w:val="000000"/>
          <w:sz w:val="32"/>
          <w:szCs w:val="32"/>
        </w:rPr>
        <w:br w:type="page"/>
      </w:r>
      <w:r>
        <w:rPr>
          <w:rFonts w:hint="eastAsia" w:ascii="Times New Roman" w:hAnsi="Times New Roman" w:eastAsia="黑体" w:cs="黑体"/>
          <w:color w:val="000000"/>
          <w:sz w:val="32"/>
          <w:szCs w:val="32"/>
        </w:rPr>
        <w:t>附件</w:t>
      </w:r>
      <w:r>
        <w:rPr>
          <w:rFonts w:ascii="Times New Roman" w:hAnsi="Times New Roman" w:eastAsia="黑体" w:cs="Times New Roman"/>
          <w:color w:val="000000"/>
          <w:sz w:val="32"/>
          <w:szCs w:val="32"/>
        </w:rPr>
        <w:t>1</w:t>
      </w:r>
    </w:p>
    <w:p>
      <w:pPr>
        <w:spacing w:line="400" w:lineRule="exact"/>
        <w:jc w:val="center"/>
        <w:rPr>
          <w:rFonts w:ascii="Times New Roman" w:hAnsi="Times New Roman" w:eastAsia="方正小标宋简体" w:cs="Times New Roman"/>
          <w:color w:val="000000"/>
          <w:kern w:val="0"/>
          <w:sz w:val="44"/>
          <w:szCs w:val="44"/>
        </w:rPr>
      </w:pPr>
    </w:p>
    <w:p>
      <w:pPr>
        <w:spacing w:line="580" w:lineRule="exact"/>
        <w:jc w:val="center"/>
        <w:rPr>
          <w:rFonts w:ascii="Times New Roman" w:hAnsi="Times New Roman" w:eastAsia="方正小标宋简体" w:cs="Times New Roman"/>
          <w:color w:val="000000"/>
          <w:kern w:val="0"/>
          <w:sz w:val="44"/>
          <w:szCs w:val="44"/>
        </w:rPr>
      </w:pPr>
      <w:r>
        <w:rPr>
          <w:rFonts w:ascii="Times New Roman" w:hAnsi="Times New Roman" w:eastAsia="方正小标宋简体" w:cs="Times New Roman"/>
          <w:color w:val="000000"/>
          <w:kern w:val="0"/>
          <w:sz w:val="44"/>
          <w:szCs w:val="44"/>
        </w:rPr>
        <w:t>2019</w:t>
      </w:r>
      <w:r>
        <w:rPr>
          <w:rFonts w:hint="eastAsia" w:ascii="Times New Roman" w:hAnsi="Times New Roman" w:eastAsia="方正小标宋简体" w:cs="方正小标宋简体"/>
          <w:color w:val="000000"/>
          <w:kern w:val="0"/>
          <w:sz w:val="44"/>
          <w:szCs w:val="44"/>
        </w:rPr>
        <w:t>年度五化民政建设评估指标</w:t>
      </w:r>
    </w:p>
    <w:tbl>
      <w:tblPr>
        <w:tblStyle w:val="7"/>
        <w:tblW w:w="9110" w:type="dxa"/>
        <w:tblInd w:w="-10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7"/>
        <w:gridCol w:w="554"/>
        <w:gridCol w:w="443"/>
        <w:gridCol w:w="6370"/>
        <w:gridCol w:w="12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9" w:hRule="atLeast"/>
          <w:tblHeader/>
        </w:trPr>
        <w:tc>
          <w:tcPr>
            <w:tcW w:w="1051" w:type="dxa"/>
            <w:gridSpan w:val="2"/>
            <w:vAlign w:val="center"/>
          </w:tcPr>
          <w:p>
            <w:pPr>
              <w:widowControl/>
              <w:spacing w:line="320" w:lineRule="exact"/>
              <w:jc w:val="center"/>
              <w:rPr>
                <w:rFonts w:ascii="Times New Roman" w:hAnsi="Times New Roman" w:eastAsia="黑体" w:cs="Times New Roman"/>
                <w:color w:val="000000"/>
                <w:kern w:val="0"/>
              </w:rPr>
            </w:pPr>
            <w:r>
              <w:rPr>
                <w:rFonts w:hint="eastAsia" w:ascii="Times New Roman" w:hAnsi="Times New Roman" w:eastAsia="黑体" w:cs="黑体"/>
                <w:color w:val="000000"/>
                <w:kern w:val="0"/>
              </w:rPr>
              <w:t>指标</w:t>
            </w:r>
          </w:p>
          <w:p>
            <w:pPr>
              <w:widowControl/>
              <w:spacing w:line="320" w:lineRule="exact"/>
              <w:jc w:val="center"/>
              <w:rPr>
                <w:rFonts w:ascii="Times New Roman" w:hAnsi="Times New Roman" w:eastAsia="黑体" w:cs="Times New Roman"/>
                <w:color w:val="000000"/>
                <w:kern w:val="0"/>
              </w:rPr>
            </w:pPr>
            <w:r>
              <w:rPr>
                <w:rFonts w:hint="eastAsia" w:ascii="Times New Roman" w:hAnsi="Times New Roman" w:eastAsia="黑体" w:cs="黑体"/>
                <w:color w:val="000000"/>
                <w:kern w:val="0"/>
              </w:rPr>
              <w:t>名称</w:t>
            </w:r>
          </w:p>
        </w:tc>
        <w:tc>
          <w:tcPr>
            <w:tcW w:w="443" w:type="dxa"/>
            <w:vAlign w:val="center"/>
          </w:tcPr>
          <w:p>
            <w:pPr>
              <w:widowControl/>
              <w:spacing w:line="320" w:lineRule="exact"/>
              <w:jc w:val="center"/>
              <w:rPr>
                <w:rFonts w:ascii="Times New Roman" w:hAnsi="Times New Roman" w:eastAsia="黑体" w:cs="Times New Roman"/>
                <w:color w:val="000000"/>
                <w:kern w:val="0"/>
              </w:rPr>
            </w:pPr>
            <w:r>
              <w:rPr>
                <w:rFonts w:hint="eastAsia" w:ascii="Times New Roman" w:hAnsi="Times New Roman" w:eastAsia="黑体" w:cs="黑体"/>
                <w:color w:val="000000"/>
                <w:kern w:val="0"/>
              </w:rPr>
              <w:t>序号</w:t>
            </w:r>
          </w:p>
        </w:tc>
        <w:tc>
          <w:tcPr>
            <w:tcW w:w="6370" w:type="dxa"/>
            <w:vAlign w:val="center"/>
          </w:tcPr>
          <w:p>
            <w:pPr>
              <w:widowControl/>
              <w:spacing w:line="320" w:lineRule="exact"/>
              <w:jc w:val="center"/>
              <w:rPr>
                <w:rFonts w:ascii="Times New Roman" w:hAnsi="Times New Roman" w:eastAsia="黑体" w:cs="Times New Roman"/>
                <w:color w:val="000000"/>
                <w:kern w:val="0"/>
              </w:rPr>
            </w:pPr>
            <w:r>
              <w:rPr>
                <w:rFonts w:hint="eastAsia" w:ascii="Times New Roman" w:hAnsi="Times New Roman" w:eastAsia="黑体" w:cs="黑体"/>
                <w:color w:val="000000"/>
                <w:kern w:val="0"/>
              </w:rPr>
              <w:t>指标内容</w:t>
            </w:r>
          </w:p>
        </w:tc>
        <w:tc>
          <w:tcPr>
            <w:tcW w:w="1246" w:type="dxa"/>
            <w:vAlign w:val="center"/>
          </w:tcPr>
          <w:p>
            <w:pPr>
              <w:widowControl/>
              <w:spacing w:line="320" w:lineRule="exact"/>
              <w:jc w:val="center"/>
              <w:rPr>
                <w:rFonts w:ascii="Times New Roman" w:hAnsi="Times New Roman" w:eastAsia="黑体" w:cs="Times New Roman"/>
                <w:color w:val="000000"/>
                <w:kern w:val="0"/>
              </w:rPr>
            </w:pPr>
            <w:r>
              <w:rPr>
                <w:rFonts w:hint="eastAsia" w:ascii="Times New Roman" w:hAnsi="Times New Roman" w:eastAsia="黑体" w:cs="黑体"/>
                <w:color w:val="000000"/>
                <w:kern w:val="0"/>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5" w:hRule="atLeast"/>
        </w:trPr>
        <w:tc>
          <w:tcPr>
            <w:tcW w:w="497" w:type="dxa"/>
            <w:vMerge w:val="restart"/>
            <w:vAlign w:val="center"/>
          </w:tcPr>
          <w:p>
            <w:pPr>
              <w:widowControl/>
              <w:spacing w:line="320" w:lineRule="exact"/>
              <w:jc w:val="center"/>
              <w:rPr>
                <w:rFonts w:ascii="Times New Roman" w:hAnsi="Times New Roman" w:cs="Times New Roman"/>
                <w:color w:val="000000"/>
                <w:kern w:val="0"/>
              </w:rPr>
            </w:pPr>
            <w:r>
              <w:rPr>
                <w:rFonts w:hint="eastAsia" w:ascii="Times New Roman" w:hAnsi="宋体" w:cs="宋体"/>
                <w:color w:val="000000"/>
                <w:kern w:val="0"/>
              </w:rPr>
              <w:t>综合性指标</w:t>
            </w:r>
          </w:p>
        </w:tc>
        <w:tc>
          <w:tcPr>
            <w:tcW w:w="554" w:type="dxa"/>
            <w:vMerge w:val="restart"/>
            <w:vAlign w:val="center"/>
          </w:tcPr>
          <w:p>
            <w:pPr>
              <w:widowControl/>
              <w:spacing w:line="320" w:lineRule="exact"/>
              <w:jc w:val="center"/>
              <w:rPr>
                <w:rFonts w:ascii="Times New Roman" w:hAnsi="Times New Roman" w:cs="Times New Roman"/>
                <w:color w:val="000000"/>
                <w:kern w:val="0"/>
              </w:rPr>
            </w:pPr>
            <w:r>
              <w:rPr>
                <w:rFonts w:hint="eastAsia" w:ascii="Times New Roman" w:hAnsi="宋体" w:cs="宋体"/>
                <w:color w:val="000000"/>
                <w:kern w:val="0"/>
              </w:rPr>
              <w:t>人本化</w:t>
            </w:r>
          </w:p>
        </w:tc>
        <w:tc>
          <w:tcPr>
            <w:tcW w:w="443" w:type="dxa"/>
            <w:vAlign w:val="center"/>
          </w:tcPr>
          <w:p>
            <w:pPr>
              <w:widowControl/>
              <w:spacing w:line="320" w:lineRule="exact"/>
              <w:jc w:val="center"/>
              <w:rPr>
                <w:rFonts w:ascii="Times New Roman" w:hAnsi="Times New Roman" w:cs="Times New Roman"/>
                <w:color w:val="000000"/>
                <w:kern w:val="0"/>
              </w:rPr>
            </w:pPr>
            <w:r>
              <w:rPr>
                <w:rFonts w:ascii="Times New Roman" w:hAnsi="Times New Roman" w:cs="Times New Roman"/>
                <w:color w:val="000000"/>
                <w:kern w:val="0"/>
              </w:rPr>
              <w:t>1</w:t>
            </w:r>
          </w:p>
        </w:tc>
        <w:tc>
          <w:tcPr>
            <w:tcW w:w="6370" w:type="dxa"/>
            <w:vAlign w:val="center"/>
          </w:tcPr>
          <w:p>
            <w:pPr>
              <w:widowControl/>
              <w:spacing w:line="320" w:lineRule="exact"/>
              <w:jc w:val="left"/>
              <w:rPr>
                <w:rFonts w:ascii="Times New Roman" w:hAnsi="Times New Roman" w:cs="Times New Roman"/>
                <w:color w:val="000000"/>
                <w:kern w:val="0"/>
              </w:rPr>
            </w:pPr>
            <w:r>
              <w:rPr>
                <w:rFonts w:hint="eastAsia" w:ascii="Times New Roman" w:hAnsi="宋体" w:cs="宋体"/>
                <w:color w:val="000000"/>
                <w:kern w:val="0"/>
              </w:rPr>
              <w:t>建立健全党委政府研究民政工作机制和养老、困难群众生活保障、农村留守儿童关爱保护、困境儿童保障、殡葬改革、社会组织等领导协调工作机制，以上机制有效运转。</w:t>
            </w:r>
          </w:p>
        </w:tc>
        <w:tc>
          <w:tcPr>
            <w:tcW w:w="1246" w:type="dxa"/>
            <w:vAlign w:val="center"/>
          </w:tcPr>
          <w:p>
            <w:pPr>
              <w:widowControl/>
              <w:spacing w:line="320" w:lineRule="exact"/>
              <w:jc w:val="center"/>
              <w:rPr>
                <w:rFonts w:ascii="Times New Roman" w:hAnsi="Times New Roman" w:cs="Times New Roman"/>
                <w:color w:val="000000"/>
                <w:kern w:val="0"/>
              </w:rPr>
            </w:pPr>
            <w:r>
              <w:rPr>
                <w:rFonts w:ascii="Times New Roman" w:hAnsi="Times New Roman" w:cs="Times New Roman"/>
                <w:color w:val="000000"/>
                <w:kern w:val="0"/>
              </w:rPr>
              <w:t>2</w:t>
            </w:r>
            <w:r>
              <w:rPr>
                <w:rFonts w:hint="eastAsia" w:ascii="Times New Roman" w:hAnsi="宋体" w:cs="宋体"/>
                <w:color w:val="000000"/>
                <w:kern w:val="0"/>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5" w:hRule="atLeast"/>
        </w:trPr>
        <w:tc>
          <w:tcPr>
            <w:tcW w:w="497" w:type="dxa"/>
            <w:vMerge w:val="continue"/>
            <w:vAlign w:val="center"/>
          </w:tcPr>
          <w:p>
            <w:pPr>
              <w:widowControl/>
              <w:spacing w:line="320" w:lineRule="exact"/>
              <w:jc w:val="left"/>
              <w:rPr>
                <w:rFonts w:ascii="Times New Roman" w:hAnsi="Times New Roman" w:cs="Times New Roman"/>
                <w:color w:val="000000"/>
                <w:kern w:val="0"/>
              </w:rPr>
            </w:pPr>
          </w:p>
        </w:tc>
        <w:tc>
          <w:tcPr>
            <w:tcW w:w="554" w:type="dxa"/>
            <w:vMerge w:val="continue"/>
            <w:vAlign w:val="center"/>
          </w:tcPr>
          <w:p>
            <w:pPr>
              <w:widowControl/>
              <w:spacing w:line="320" w:lineRule="exact"/>
              <w:jc w:val="left"/>
              <w:rPr>
                <w:rFonts w:ascii="Times New Roman" w:hAnsi="Times New Roman" w:cs="Times New Roman"/>
                <w:color w:val="000000"/>
                <w:kern w:val="0"/>
              </w:rPr>
            </w:pPr>
          </w:p>
        </w:tc>
        <w:tc>
          <w:tcPr>
            <w:tcW w:w="443" w:type="dxa"/>
            <w:vAlign w:val="center"/>
          </w:tcPr>
          <w:p>
            <w:pPr>
              <w:widowControl/>
              <w:spacing w:line="320" w:lineRule="exact"/>
              <w:jc w:val="center"/>
              <w:rPr>
                <w:rFonts w:ascii="Times New Roman" w:hAnsi="Times New Roman" w:cs="Times New Roman"/>
                <w:color w:val="000000"/>
                <w:kern w:val="0"/>
              </w:rPr>
            </w:pPr>
            <w:r>
              <w:rPr>
                <w:rFonts w:ascii="Times New Roman" w:hAnsi="Times New Roman" w:cs="Times New Roman"/>
                <w:color w:val="000000"/>
                <w:kern w:val="0"/>
              </w:rPr>
              <w:t>2</w:t>
            </w:r>
          </w:p>
        </w:tc>
        <w:tc>
          <w:tcPr>
            <w:tcW w:w="6370" w:type="dxa"/>
            <w:vAlign w:val="center"/>
          </w:tcPr>
          <w:p>
            <w:pPr>
              <w:widowControl/>
              <w:spacing w:line="320" w:lineRule="exact"/>
              <w:jc w:val="left"/>
              <w:rPr>
                <w:rFonts w:ascii="Times New Roman" w:hAnsi="Times New Roman" w:cs="Times New Roman"/>
                <w:color w:val="000000"/>
                <w:kern w:val="0"/>
              </w:rPr>
            </w:pPr>
            <w:r>
              <w:rPr>
                <w:rFonts w:hint="eastAsia" w:ascii="Times New Roman" w:hAnsi="宋体" w:cs="宋体"/>
                <w:color w:val="000000"/>
                <w:kern w:val="0"/>
              </w:rPr>
              <w:t>最低生活保障、特困人员救助供养、非急难型临时救助、孤儿保障、残疾人两项补贴等常年保障民政对象的经费全部实现社会化发放，并及时足额发放到位，资金管理和使用规范合法。</w:t>
            </w:r>
          </w:p>
        </w:tc>
        <w:tc>
          <w:tcPr>
            <w:tcW w:w="1246" w:type="dxa"/>
            <w:vAlign w:val="center"/>
          </w:tcPr>
          <w:p>
            <w:pPr>
              <w:widowControl/>
              <w:spacing w:line="320" w:lineRule="exact"/>
              <w:jc w:val="center"/>
              <w:rPr>
                <w:rFonts w:ascii="Times New Roman" w:hAnsi="Times New Roman" w:cs="Times New Roman"/>
                <w:color w:val="000000"/>
                <w:kern w:val="0"/>
              </w:rPr>
            </w:pPr>
            <w:r>
              <w:rPr>
                <w:rFonts w:ascii="Times New Roman" w:hAnsi="Times New Roman" w:cs="Times New Roman"/>
                <w:color w:val="000000"/>
                <w:kern w:val="0"/>
              </w:rPr>
              <w:t>4</w:t>
            </w:r>
            <w:r>
              <w:rPr>
                <w:rFonts w:hint="eastAsia" w:ascii="Times New Roman" w:hAnsi="宋体" w:cs="宋体"/>
                <w:color w:val="000000"/>
                <w:kern w:val="0"/>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60" w:hRule="atLeast"/>
        </w:trPr>
        <w:tc>
          <w:tcPr>
            <w:tcW w:w="497" w:type="dxa"/>
            <w:vMerge w:val="continue"/>
            <w:vAlign w:val="center"/>
          </w:tcPr>
          <w:p>
            <w:pPr>
              <w:widowControl/>
              <w:spacing w:line="320" w:lineRule="exact"/>
              <w:jc w:val="left"/>
              <w:rPr>
                <w:rFonts w:ascii="Times New Roman" w:hAnsi="Times New Roman" w:cs="Times New Roman"/>
                <w:color w:val="000000"/>
                <w:kern w:val="0"/>
              </w:rPr>
            </w:pPr>
          </w:p>
        </w:tc>
        <w:tc>
          <w:tcPr>
            <w:tcW w:w="554" w:type="dxa"/>
            <w:vMerge w:val="continue"/>
            <w:vAlign w:val="center"/>
          </w:tcPr>
          <w:p>
            <w:pPr>
              <w:widowControl/>
              <w:spacing w:line="320" w:lineRule="exact"/>
              <w:jc w:val="left"/>
              <w:rPr>
                <w:rFonts w:ascii="Times New Roman" w:hAnsi="Times New Roman" w:cs="Times New Roman"/>
                <w:color w:val="000000"/>
                <w:kern w:val="0"/>
              </w:rPr>
            </w:pPr>
          </w:p>
        </w:tc>
        <w:tc>
          <w:tcPr>
            <w:tcW w:w="443" w:type="dxa"/>
            <w:vAlign w:val="center"/>
          </w:tcPr>
          <w:p>
            <w:pPr>
              <w:widowControl/>
              <w:spacing w:line="320" w:lineRule="exact"/>
              <w:jc w:val="center"/>
              <w:rPr>
                <w:rFonts w:ascii="Times New Roman" w:hAnsi="Times New Roman" w:cs="Times New Roman"/>
                <w:color w:val="000000"/>
                <w:kern w:val="0"/>
              </w:rPr>
            </w:pPr>
            <w:r>
              <w:rPr>
                <w:rFonts w:ascii="Times New Roman" w:hAnsi="Times New Roman" w:cs="Times New Roman"/>
                <w:color w:val="000000"/>
                <w:kern w:val="0"/>
              </w:rPr>
              <w:t>3</w:t>
            </w:r>
          </w:p>
        </w:tc>
        <w:tc>
          <w:tcPr>
            <w:tcW w:w="6370" w:type="dxa"/>
            <w:vAlign w:val="center"/>
          </w:tcPr>
          <w:p>
            <w:pPr>
              <w:widowControl/>
              <w:spacing w:line="320" w:lineRule="exact"/>
              <w:jc w:val="left"/>
              <w:rPr>
                <w:rFonts w:ascii="Times New Roman" w:hAnsi="Times New Roman" w:cs="Times New Roman"/>
                <w:color w:val="000000"/>
                <w:kern w:val="0"/>
              </w:rPr>
            </w:pPr>
            <w:r>
              <w:rPr>
                <w:rFonts w:hint="eastAsia" w:ascii="Times New Roman" w:hAnsi="宋体" w:cs="宋体"/>
                <w:color w:val="000000"/>
                <w:kern w:val="0"/>
              </w:rPr>
              <w:t>城乡低保标准和救助水平均不低于上年度全国平均水平；城乡特困人员基本生活标准分别不低于当地当年城乡低保标准的</w:t>
            </w:r>
            <w:r>
              <w:rPr>
                <w:rFonts w:ascii="Times New Roman" w:hAnsi="Times New Roman" w:cs="Times New Roman"/>
                <w:color w:val="000000"/>
                <w:kern w:val="0"/>
              </w:rPr>
              <w:t>1.3</w:t>
            </w:r>
            <w:r>
              <w:rPr>
                <w:rFonts w:hint="eastAsia" w:ascii="Times New Roman" w:hAnsi="宋体" w:cs="宋体"/>
                <w:color w:val="000000"/>
                <w:kern w:val="0"/>
              </w:rPr>
              <w:t>倍；制定城乡特困人员分级分类照料护理标准、安排照料护理经费并严格落实；生活不能自理特困人员集中供养率</w:t>
            </w:r>
            <w:r>
              <w:rPr>
                <w:rFonts w:ascii="Times New Roman" w:hAnsi="Times New Roman" w:cs="Times New Roman"/>
                <w:color w:val="000000"/>
                <w:kern w:val="0"/>
              </w:rPr>
              <w:t>2019</w:t>
            </w:r>
            <w:r>
              <w:rPr>
                <w:rFonts w:hint="eastAsia" w:ascii="Times New Roman" w:hAnsi="宋体" w:cs="宋体"/>
                <w:color w:val="000000"/>
                <w:kern w:val="0"/>
              </w:rPr>
              <w:t>年不低于</w:t>
            </w:r>
            <w:r>
              <w:rPr>
                <w:rFonts w:ascii="Times New Roman" w:hAnsi="Times New Roman" w:cs="Times New Roman"/>
                <w:color w:val="000000"/>
                <w:kern w:val="0"/>
              </w:rPr>
              <w:t>50%</w:t>
            </w:r>
            <w:r>
              <w:rPr>
                <w:rFonts w:hint="eastAsia" w:ascii="Times New Roman" w:hAnsi="宋体" w:cs="宋体"/>
                <w:color w:val="000000"/>
                <w:kern w:val="0"/>
              </w:rPr>
              <w:t>。</w:t>
            </w:r>
          </w:p>
        </w:tc>
        <w:tc>
          <w:tcPr>
            <w:tcW w:w="1246" w:type="dxa"/>
            <w:vAlign w:val="center"/>
          </w:tcPr>
          <w:p>
            <w:pPr>
              <w:widowControl/>
              <w:spacing w:line="320" w:lineRule="exact"/>
              <w:jc w:val="center"/>
              <w:rPr>
                <w:rFonts w:ascii="Times New Roman" w:hAnsi="Times New Roman" w:cs="Times New Roman"/>
                <w:color w:val="000000"/>
                <w:kern w:val="0"/>
              </w:rPr>
            </w:pPr>
            <w:r>
              <w:rPr>
                <w:rFonts w:ascii="Times New Roman" w:hAnsi="Times New Roman" w:cs="Times New Roman"/>
                <w:color w:val="000000"/>
                <w:kern w:val="0"/>
              </w:rPr>
              <w:t>6</w:t>
            </w:r>
            <w:r>
              <w:rPr>
                <w:rFonts w:hint="eastAsia" w:ascii="Times New Roman" w:hAnsi="宋体" w:cs="宋体"/>
                <w:color w:val="000000"/>
                <w:kern w:val="0"/>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90" w:hRule="atLeast"/>
        </w:trPr>
        <w:tc>
          <w:tcPr>
            <w:tcW w:w="497" w:type="dxa"/>
            <w:vMerge w:val="continue"/>
            <w:vAlign w:val="center"/>
          </w:tcPr>
          <w:p>
            <w:pPr>
              <w:widowControl/>
              <w:spacing w:line="320" w:lineRule="exact"/>
              <w:jc w:val="left"/>
              <w:rPr>
                <w:rFonts w:ascii="Times New Roman" w:hAnsi="Times New Roman" w:cs="Times New Roman"/>
                <w:color w:val="000000"/>
                <w:kern w:val="0"/>
              </w:rPr>
            </w:pPr>
          </w:p>
        </w:tc>
        <w:tc>
          <w:tcPr>
            <w:tcW w:w="554" w:type="dxa"/>
            <w:vMerge w:val="continue"/>
            <w:vAlign w:val="center"/>
          </w:tcPr>
          <w:p>
            <w:pPr>
              <w:widowControl/>
              <w:spacing w:line="320" w:lineRule="exact"/>
              <w:jc w:val="left"/>
              <w:rPr>
                <w:rFonts w:ascii="Times New Roman" w:hAnsi="Times New Roman" w:cs="Times New Roman"/>
                <w:color w:val="000000"/>
                <w:kern w:val="0"/>
              </w:rPr>
            </w:pPr>
          </w:p>
        </w:tc>
        <w:tc>
          <w:tcPr>
            <w:tcW w:w="443" w:type="dxa"/>
            <w:vAlign w:val="center"/>
          </w:tcPr>
          <w:p>
            <w:pPr>
              <w:widowControl/>
              <w:spacing w:line="320" w:lineRule="exact"/>
              <w:jc w:val="center"/>
              <w:rPr>
                <w:rFonts w:ascii="Times New Roman" w:hAnsi="Times New Roman" w:cs="Times New Roman"/>
                <w:color w:val="000000"/>
                <w:kern w:val="0"/>
              </w:rPr>
            </w:pPr>
            <w:r>
              <w:rPr>
                <w:rFonts w:ascii="Times New Roman" w:hAnsi="Times New Roman" w:cs="Times New Roman"/>
                <w:color w:val="000000"/>
                <w:kern w:val="0"/>
              </w:rPr>
              <w:t>4</w:t>
            </w:r>
          </w:p>
        </w:tc>
        <w:tc>
          <w:tcPr>
            <w:tcW w:w="6370" w:type="dxa"/>
            <w:vAlign w:val="center"/>
          </w:tcPr>
          <w:p>
            <w:pPr>
              <w:widowControl/>
              <w:spacing w:line="320" w:lineRule="exact"/>
              <w:jc w:val="left"/>
              <w:rPr>
                <w:rFonts w:ascii="Times New Roman" w:hAnsi="Times New Roman" w:cs="Times New Roman"/>
                <w:color w:val="000000"/>
                <w:kern w:val="0"/>
              </w:rPr>
            </w:pPr>
            <w:r>
              <w:rPr>
                <w:rFonts w:hint="eastAsia" w:ascii="Times New Roman" w:hAnsi="宋体" w:cs="宋体"/>
                <w:color w:val="000000"/>
                <w:kern w:val="0"/>
              </w:rPr>
              <w:t>每千名老人拥有养老床位达到</w:t>
            </w:r>
            <w:r>
              <w:rPr>
                <w:rFonts w:ascii="Times New Roman" w:hAnsi="Times New Roman" w:cs="Times New Roman"/>
                <w:color w:val="000000"/>
                <w:kern w:val="0"/>
              </w:rPr>
              <w:t>36.5</w:t>
            </w:r>
            <w:r>
              <w:rPr>
                <w:rFonts w:hint="eastAsia" w:ascii="Times New Roman" w:hAnsi="宋体" w:cs="宋体"/>
                <w:color w:val="000000"/>
                <w:kern w:val="0"/>
              </w:rPr>
              <w:t>张以上，且养老床位利用率不低于</w:t>
            </w:r>
            <w:r>
              <w:rPr>
                <w:rFonts w:ascii="Times New Roman" w:hAnsi="Times New Roman" w:cs="Times New Roman"/>
                <w:color w:val="000000"/>
                <w:kern w:val="0"/>
              </w:rPr>
              <w:t>80%</w:t>
            </w:r>
            <w:r>
              <w:rPr>
                <w:rFonts w:hint="eastAsia" w:ascii="Times New Roman" w:hAnsi="宋体" w:cs="宋体"/>
                <w:color w:val="000000"/>
                <w:kern w:val="0"/>
              </w:rPr>
              <w:t>；建有县级福利院、</w:t>
            </w:r>
            <w:r>
              <w:rPr>
                <w:rFonts w:ascii="Times New Roman" w:hAnsi="Times New Roman" w:cs="Times New Roman"/>
                <w:color w:val="000000"/>
                <w:kern w:val="0"/>
              </w:rPr>
              <w:t>1</w:t>
            </w:r>
            <w:r>
              <w:rPr>
                <w:rFonts w:hint="eastAsia" w:ascii="Times New Roman" w:hAnsi="宋体" w:cs="宋体"/>
                <w:color w:val="000000"/>
                <w:kern w:val="0"/>
              </w:rPr>
              <w:t>个以上区域性中心敬老院；城乡社区养老服务设施覆盖率分别达到</w:t>
            </w:r>
            <w:r>
              <w:rPr>
                <w:rFonts w:ascii="Times New Roman" w:hAnsi="Times New Roman" w:cs="Times New Roman"/>
                <w:color w:val="000000"/>
                <w:kern w:val="0"/>
              </w:rPr>
              <w:t>95%</w:t>
            </w:r>
            <w:r>
              <w:rPr>
                <w:rFonts w:hint="eastAsia" w:ascii="Times New Roman" w:hAnsi="宋体" w:cs="宋体"/>
                <w:color w:val="000000"/>
                <w:kern w:val="0"/>
              </w:rPr>
              <w:t>和</w:t>
            </w:r>
            <w:r>
              <w:rPr>
                <w:rFonts w:ascii="Times New Roman" w:hAnsi="Times New Roman" w:cs="Times New Roman"/>
                <w:color w:val="000000"/>
                <w:kern w:val="0"/>
              </w:rPr>
              <w:t>60%</w:t>
            </w:r>
            <w:r>
              <w:rPr>
                <w:rFonts w:hint="eastAsia" w:ascii="Times New Roman" w:hAnsi="宋体" w:cs="宋体"/>
                <w:color w:val="000000"/>
                <w:kern w:val="0"/>
              </w:rPr>
              <w:t>，且养老服务设施能持续发挥作用；</w:t>
            </w:r>
            <w:r>
              <w:rPr>
                <w:rFonts w:ascii="Times New Roman" w:hAnsi="Times New Roman" w:cs="Times New Roman"/>
                <w:color w:val="000000"/>
                <w:kern w:val="0"/>
              </w:rPr>
              <w:t>90%</w:t>
            </w:r>
            <w:r>
              <w:rPr>
                <w:rFonts w:hint="eastAsia" w:ascii="Times New Roman" w:hAnsi="宋体" w:cs="宋体"/>
                <w:color w:val="000000"/>
                <w:kern w:val="0"/>
              </w:rPr>
              <w:t>以上养老院能够以不同形式为入住老年人提供医疗卫生服务，养老院护理型床位占比达到</w:t>
            </w:r>
            <w:r>
              <w:rPr>
                <w:rFonts w:ascii="Times New Roman" w:hAnsi="Times New Roman" w:cs="Times New Roman"/>
                <w:color w:val="000000"/>
                <w:kern w:val="0"/>
              </w:rPr>
              <w:t>30%</w:t>
            </w:r>
            <w:r>
              <w:rPr>
                <w:rFonts w:hint="eastAsia" w:ascii="Times New Roman" w:hAnsi="宋体" w:cs="宋体"/>
                <w:color w:val="000000"/>
                <w:kern w:val="0"/>
              </w:rPr>
              <w:t>以上。</w:t>
            </w:r>
          </w:p>
        </w:tc>
        <w:tc>
          <w:tcPr>
            <w:tcW w:w="1246" w:type="dxa"/>
            <w:vAlign w:val="center"/>
          </w:tcPr>
          <w:p>
            <w:pPr>
              <w:widowControl/>
              <w:spacing w:line="320" w:lineRule="exact"/>
              <w:jc w:val="center"/>
              <w:rPr>
                <w:rFonts w:ascii="Times New Roman" w:hAnsi="Times New Roman" w:cs="Times New Roman"/>
                <w:color w:val="000000"/>
                <w:kern w:val="0"/>
              </w:rPr>
            </w:pPr>
            <w:r>
              <w:rPr>
                <w:rFonts w:ascii="Times New Roman" w:hAnsi="Times New Roman" w:cs="Times New Roman"/>
                <w:color w:val="000000"/>
                <w:kern w:val="0"/>
              </w:rPr>
              <w:t>7</w:t>
            </w:r>
            <w:r>
              <w:rPr>
                <w:rFonts w:hint="eastAsia" w:ascii="Times New Roman" w:hAnsi="宋体" w:cs="宋体"/>
                <w:color w:val="000000"/>
                <w:kern w:val="0"/>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90" w:hRule="atLeast"/>
        </w:trPr>
        <w:tc>
          <w:tcPr>
            <w:tcW w:w="497" w:type="dxa"/>
            <w:vMerge w:val="continue"/>
            <w:vAlign w:val="center"/>
          </w:tcPr>
          <w:p>
            <w:pPr>
              <w:widowControl/>
              <w:spacing w:line="320" w:lineRule="exact"/>
              <w:jc w:val="left"/>
              <w:rPr>
                <w:rFonts w:ascii="Times New Roman" w:hAnsi="Times New Roman" w:cs="Times New Roman"/>
                <w:color w:val="000000"/>
                <w:kern w:val="0"/>
              </w:rPr>
            </w:pPr>
          </w:p>
        </w:tc>
        <w:tc>
          <w:tcPr>
            <w:tcW w:w="554" w:type="dxa"/>
            <w:vMerge w:val="continue"/>
            <w:vAlign w:val="center"/>
          </w:tcPr>
          <w:p>
            <w:pPr>
              <w:widowControl/>
              <w:spacing w:line="320" w:lineRule="exact"/>
              <w:jc w:val="left"/>
              <w:rPr>
                <w:rFonts w:ascii="Times New Roman" w:hAnsi="Times New Roman" w:cs="Times New Roman"/>
                <w:color w:val="000000"/>
                <w:kern w:val="0"/>
              </w:rPr>
            </w:pPr>
          </w:p>
        </w:tc>
        <w:tc>
          <w:tcPr>
            <w:tcW w:w="443" w:type="dxa"/>
            <w:vAlign w:val="center"/>
          </w:tcPr>
          <w:p>
            <w:pPr>
              <w:widowControl/>
              <w:spacing w:line="320" w:lineRule="exact"/>
              <w:jc w:val="center"/>
              <w:rPr>
                <w:rFonts w:ascii="Times New Roman" w:hAnsi="Times New Roman" w:cs="Times New Roman"/>
                <w:color w:val="000000"/>
                <w:kern w:val="0"/>
              </w:rPr>
            </w:pPr>
            <w:r>
              <w:rPr>
                <w:rFonts w:ascii="Times New Roman" w:hAnsi="Times New Roman" w:cs="Times New Roman"/>
                <w:color w:val="000000"/>
                <w:kern w:val="0"/>
              </w:rPr>
              <w:t>5</w:t>
            </w:r>
          </w:p>
        </w:tc>
        <w:tc>
          <w:tcPr>
            <w:tcW w:w="6370" w:type="dxa"/>
            <w:vAlign w:val="center"/>
          </w:tcPr>
          <w:p>
            <w:pPr>
              <w:widowControl/>
              <w:spacing w:line="320" w:lineRule="exact"/>
              <w:jc w:val="left"/>
              <w:rPr>
                <w:rFonts w:ascii="Times New Roman" w:hAnsi="Times New Roman" w:cs="Times New Roman"/>
                <w:color w:val="000000"/>
                <w:kern w:val="0"/>
              </w:rPr>
            </w:pPr>
            <w:r>
              <w:rPr>
                <w:rFonts w:hint="eastAsia" w:ascii="Times New Roman" w:hAnsi="宋体" w:cs="宋体"/>
                <w:color w:val="000000"/>
                <w:kern w:val="0"/>
              </w:rPr>
              <w:t>全面完成民政脱贫攻坚各项任务</w:t>
            </w:r>
            <w:r>
              <w:rPr>
                <w:rFonts w:ascii="Times New Roman" w:hAnsi="Times New Roman" w:cs="Times New Roman"/>
                <w:color w:val="000000"/>
                <w:kern w:val="0"/>
              </w:rPr>
              <w:t>,</w:t>
            </w:r>
            <w:r>
              <w:rPr>
                <w:rFonts w:hint="eastAsia" w:ascii="Times New Roman" w:hAnsi="宋体" w:cs="宋体"/>
                <w:color w:val="000000"/>
                <w:kern w:val="0"/>
              </w:rPr>
              <w:t>切实做好社会救助兜底保障工作，将符合条件的建档立卡贫困人口全部纳入农村低保或农村特困供养保障范围，认定为社会救助兜底保障对象，并实行分类保障，实现一户一档</w:t>
            </w:r>
            <w:r>
              <w:rPr>
                <w:rFonts w:hint="eastAsia" w:ascii="Times New Roman" w:hAnsi="Times New Roman" w:cs="宋体"/>
                <w:color w:val="000000"/>
                <w:kern w:val="0"/>
              </w:rPr>
              <w:t>，</w:t>
            </w:r>
            <w:r>
              <w:rPr>
                <w:rFonts w:hint="eastAsia" w:ascii="Times New Roman" w:hAnsi="宋体" w:cs="宋体"/>
                <w:color w:val="000000"/>
                <w:kern w:val="0"/>
              </w:rPr>
              <w:t>救助帮扶措施到位。</w:t>
            </w:r>
          </w:p>
        </w:tc>
        <w:tc>
          <w:tcPr>
            <w:tcW w:w="1246" w:type="dxa"/>
            <w:vAlign w:val="center"/>
          </w:tcPr>
          <w:p>
            <w:pPr>
              <w:widowControl/>
              <w:spacing w:line="320" w:lineRule="exact"/>
              <w:jc w:val="center"/>
              <w:rPr>
                <w:rFonts w:ascii="Times New Roman" w:hAnsi="Times New Roman" w:cs="Times New Roman"/>
                <w:color w:val="000000"/>
                <w:kern w:val="0"/>
              </w:rPr>
            </w:pPr>
            <w:r>
              <w:rPr>
                <w:rFonts w:ascii="Times New Roman" w:hAnsi="Times New Roman" w:cs="Times New Roman"/>
                <w:color w:val="000000"/>
                <w:kern w:val="0"/>
              </w:rPr>
              <w:t>2</w:t>
            </w:r>
            <w:r>
              <w:rPr>
                <w:rFonts w:hint="eastAsia" w:ascii="Times New Roman" w:hAnsi="宋体" w:cs="宋体"/>
                <w:color w:val="000000"/>
                <w:kern w:val="0"/>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0" w:hRule="atLeast"/>
        </w:trPr>
        <w:tc>
          <w:tcPr>
            <w:tcW w:w="497" w:type="dxa"/>
            <w:vMerge w:val="continue"/>
            <w:vAlign w:val="center"/>
          </w:tcPr>
          <w:p>
            <w:pPr>
              <w:widowControl/>
              <w:spacing w:line="320" w:lineRule="exact"/>
              <w:jc w:val="left"/>
              <w:rPr>
                <w:rFonts w:ascii="Times New Roman" w:hAnsi="Times New Roman" w:cs="Times New Roman"/>
                <w:color w:val="000000"/>
                <w:kern w:val="0"/>
              </w:rPr>
            </w:pPr>
          </w:p>
        </w:tc>
        <w:tc>
          <w:tcPr>
            <w:tcW w:w="554" w:type="dxa"/>
            <w:vMerge w:val="continue"/>
            <w:vAlign w:val="center"/>
          </w:tcPr>
          <w:p>
            <w:pPr>
              <w:widowControl/>
              <w:spacing w:line="320" w:lineRule="exact"/>
              <w:jc w:val="left"/>
              <w:rPr>
                <w:rFonts w:ascii="Times New Roman" w:hAnsi="Times New Roman" w:cs="Times New Roman"/>
                <w:color w:val="000000"/>
                <w:kern w:val="0"/>
              </w:rPr>
            </w:pPr>
          </w:p>
        </w:tc>
        <w:tc>
          <w:tcPr>
            <w:tcW w:w="443" w:type="dxa"/>
            <w:vAlign w:val="center"/>
          </w:tcPr>
          <w:p>
            <w:pPr>
              <w:widowControl/>
              <w:spacing w:line="320" w:lineRule="exact"/>
              <w:jc w:val="center"/>
              <w:rPr>
                <w:rFonts w:ascii="Times New Roman" w:hAnsi="Times New Roman" w:cs="Times New Roman"/>
                <w:color w:val="000000"/>
                <w:kern w:val="0"/>
              </w:rPr>
            </w:pPr>
            <w:r>
              <w:rPr>
                <w:rFonts w:ascii="Times New Roman" w:hAnsi="Times New Roman" w:cs="Times New Roman"/>
                <w:color w:val="000000"/>
                <w:kern w:val="0"/>
              </w:rPr>
              <w:t>6</w:t>
            </w:r>
          </w:p>
        </w:tc>
        <w:tc>
          <w:tcPr>
            <w:tcW w:w="6370" w:type="dxa"/>
            <w:vAlign w:val="center"/>
          </w:tcPr>
          <w:p>
            <w:pPr>
              <w:widowControl/>
              <w:spacing w:line="320" w:lineRule="exact"/>
              <w:jc w:val="left"/>
              <w:rPr>
                <w:rFonts w:ascii="Times New Roman" w:hAnsi="Times New Roman" w:cs="Times New Roman"/>
                <w:color w:val="000000"/>
                <w:kern w:val="0"/>
              </w:rPr>
            </w:pPr>
            <w:r>
              <w:rPr>
                <w:rFonts w:hint="eastAsia" w:ascii="Times New Roman" w:hAnsi="宋体" w:cs="宋体"/>
                <w:color w:val="000000"/>
                <w:kern w:val="0"/>
              </w:rPr>
              <w:t>建立</w:t>
            </w:r>
            <w:r>
              <w:rPr>
                <w:rFonts w:ascii="Times New Roman" w:hAnsi="Times New Roman" w:cs="Times New Roman"/>
                <w:color w:val="000000"/>
                <w:kern w:val="0"/>
              </w:rPr>
              <w:t>1</w:t>
            </w:r>
            <w:r>
              <w:rPr>
                <w:rFonts w:hint="eastAsia" w:ascii="Times New Roman" w:hAnsi="宋体" w:cs="宋体"/>
                <w:color w:val="000000"/>
                <w:kern w:val="0"/>
              </w:rPr>
              <w:t>家以上康复辅助器具配置服务站点。</w:t>
            </w:r>
          </w:p>
        </w:tc>
        <w:tc>
          <w:tcPr>
            <w:tcW w:w="1246" w:type="dxa"/>
            <w:vAlign w:val="center"/>
          </w:tcPr>
          <w:p>
            <w:pPr>
              <w:widowControl/>
              <w:spacing w:line="320" w:lineRule="exact"/>
              <w:jc w:val="center"/>
              <w:rPr>
                <w:rFonts w:ascii="Times New Roman" w:hAnsi="Times New Roman" w:cs="Times New Roman"/>
                <w:color w:val="000000"/>
                <w:kern w:val="0"/>
              </w:rPr>
            </w:pPr>
            <w:r>
              <w:rPr>
                <w:rFonts w:ascii="Times New Roman" w:hAnsi="Times New Roman" w:cs="Times New Roman"/>
                <w:color w:val="000000"/>
                <w:kern w:val="0"/>
              </w:rPr>
              <w:t>2</w:t>
            </w:r>
            <w:r>
              <w:rPr>
                <w:rFonts w:hint="eastAsia" w:ascii="Times New Roman" w:hAnsi="宋体" w:cs="宋体"/>
                <w:color w:val="000000"/>
                <w:kern w:val="0"/>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5" w:hRule="atLeast"/>
        </w:trPr>
        <w:tc>
          <w:tcPr>
            <w:tcW w:w="497" w:type="dxa"/>
            <w:vMerge w:val="continue"/>
            <w:vAlign w:val="center"/>
          </w:tcPr>
          <w:p>
            <w:pPr>
              <w:widowControl/>
              <w:spacing w:line="320" w:lineRule="exact"/>
              <w:jc w:val="left"/>
              <w:rPr>
                <w:rFonts w:ascii="Times New Roman" w:hAnsi="Times New Roman" w:cs="Times New Roman"/>
                <w:color w:val="000000"/>
                <w:kern w:val="0"/>
              </w:rPr>
            </w:pPr>
          </w:p>
        </w:tc>
        <w:tc>
          <w:tcPr>
            <w:tcW w:w="554" w:type="dxa"/>
            <w:vMerge w:val="continue"/>
            <w:vAlign w:val="center"/>
          </w:tcPr>
          <w:p>
            <w:pPr>
              <w:widowControl/>
              <w:spacing w:line="320" w:lineRule="exact"/>
              <w:jc w:val="left"/>
              <w:rPr>
                <w:rFonts w:ascii="Times New Roman" w:hAnsi="Times New Roman" w:cs="Times New Roman"/>
                <w:color w:val="000000"/>
                <w:kern w:val="0"/>
              </w:rPr>
            </w:pPr>
          </w:p>
        </w:tc>
        <w:tc>
          <w:tcPr>
            <w:tcW w:w="443" w:type="dxa"/>
            <w:vAlign w:val="center"/>
          </w:tcPr>
          <w:p>
            <w:pPr>
              <w:widowControl/>
              <w:spacing w:line="320" w:lineRule="exact"/>
              <w:jc w:val="center"/>
              <w:rPr>
                <w:rFonts w:ascii="Times New Roman" w:hAnsi="Times New Roman" w:cs="Times New Roman"/>
                <w:color w:val="000000"/>
                <w:kern w:val="0"/>
              </w:rPr>
            </w:pPr>
            <w:r>
              <w:rPr>
                <w:rFonts w:ascii="Times New Roman" w:hAnsi="Times New Roman" w:cs="Times New Roman"/>
                <w:color w:val="000000"/>
                <w:kern w:val="0"/>
              </w:rPr>
              <w:t>7</w:t>
            </w:r>
          </w:p>
        </w:tc>
        <w:tc>
          <w:tcPr>
            <w:tcW w:w="6370" w:type="dxa"/>
            <w:vAlign w:val="center"/>
          </w:tcPr>
          <w:p>
            <w:pPr>
              <w:widowControl/>
              <w:spacing w:line="320" w:lineRule="exact"/>
              <w:jc w:val="left"/>
              <w:rPr>
                <w:rFonts w:ascii="Times New Roman" w:hAnsi="Times New Roman" w:cs="Times New Roman"/>
                <w:color w:val="000000"/>
                <w:kern w:val="0"/>
              </w:rPr>
            </w:pPr>
            <w:r>
              <w:rPr>
                <w:rFonts w:hint="eastAsia" w:ascii="Times New Roman" w:hAnsi="宋体" w:cs="宋体"/>
                <w:color w:val="000000"/>
                <w:kern w:val="0"/>
              </w:rPr>
              <w:t>民政服务机构安全生产台帐完善</w:t>
            </w:r>
            <w:r>
              <w:rPr>
                <w:rFonts w:hint="eastAsia" w:ascii="Times New Roman" w:hAnsi="Times New Roman" w:cs="宋体"/>
                <w:color w:val="000000"/>
                <w:kern w:val="0"/>
              </w:rPr>
              <w:t>，</w:t>
            </w:r>
            <w:r>
              <w:rPr>
                <w:rFonts w:hint="eastAsia" w:ascii="Times New Roman" w:hAnsi="宋体" w:cs="宋体"/>
                <w:color w:val="000000"/>
                <w:kern w:val="0"/>
              </w:rPr>
              <w:t>值班巡查和民政服务对象及外来人员登记管理制度落实</w:t>
            </w:r>
            <w:r>
              <w:rPr>
                <w:rFonts w:hint="eastAsia" w:ascii="Times New Roman" w:hAnsi="Times New Roman" w:cs="宋体"/>
                <w:color w:val="000000"/>
                <w:kern w:val="0"/>
              </w:rPr>
              <w:t>，</w:t>
            </w:r>
            <w:r>
              <w:rPr>
                <w:rFonts w:hint="eastAsia" w:ascii="Times New Roman" w:hAnsi="宋体" w:cs="宋体"/>
                <w:color w:val="000000"/>
                <w:kern w:val="0"/>
              </w:rPr>
              <w:t>消防设施完备</w:t>
            </w:r>
            <w:r>
              <w:rPr>
                <w:rFonts w:hint="eastAsia" w:ascii="Times New Roman" w:hAnsi="Times New Roman" w:cs="宋体"/>
                <w:color w:val="000000"/>
                <w:kern w:val="0"/>
              </w:rPr>
              <w:t>，</w:t>
            </w:r>
            <w:r>
              <w:rPr>
                <w:rFonts w:hint="eastAsia" w:ascii="Times New Roman" w:hAnsi="宋体" w:cs="宋体"/>
                <w:color w:val="000000"/>
                <w:kern w:val="0"/>
              </w:rPr>
              <w:t>定期消防检查落实</w:t>
            </w:r>
            <w:r>
              <w:rPr>
                <w:rFonts w:hint="eastAsia" w:ascii="Times New Roman" w:hAnsi="Times New Roman" w:cs="宋体"/>
                <w:color w:val="000000"/>
                <w:kern w:val="0"/>
              </w:rPr>
              <w:t>，</w:t>
            </w:r>
            <w:r>
              <w:rPr>
                <w:rFonts w:hint="eastAsia" w:ascii="Times New Roman" w:hAnsi="宋体" w:cs="宋体"/>
                <w:color w:val="000000"/>
                <w:kern w:val="0"/>
              </w:rPr>
              <w:t>食品留样和消毒措施到位。</w:t>
            </w:r>
          </w:p>
        </w:tc>
        <w:tc>
          <w:tcPr>
            <w:tcW w:w="1246" w:type="dxa"/>
            <w:vAlign w:val="center"/>
          </w:tcPr>
          <w:p>
            <w:pPr>
              <w:widowControl/>
              <w:spacing w:line="320" w:lineRule="exact"/>
              <w:jc w:val="center"/>
              <w:rPr>
                <w:rFonts w:ascii="Times New Roman" w:hAnsi="Times New Roman" w:cs="Times New Roman"/>
                <w:color w:val="000000"/>
                <w:kern w:val="0"/>
              </w:rPr>
            </w:pPr>
            <w:r>
              <w:rPr>
                <w:rFonts w:ascii="Times New Roman" w:hAnsi="Times New Roman" w:cs="Times New Roman"/>
                <w:color w:val="000000"/>
                <w:kern w:val="0"/>
              </w:rPr>
              <w:t>2</w:t>
            </w:r>
            <w:r>
              <w:rPr>
                <w:rFonts w:hint="eastAsia" w:ascii="Times New Roman" w:hAnsi="宋体" w:cs="宋体"/>
                <w:color w:val="000000"/>
                <w:kern w:val="0"/>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5" w:hRule="atLeast"/>
        </w:trPr>
        <w:tc>
          <w:tcPr>
            <w:tcW w:w="497" w:type="dxa"/>
            <w:vMerge w:val="continue"/>
            <w:vAlign w:val="center"/>
          </w:tcPr>
          <w:p>
            <w:pPr>
              <w:widowControl/>
              <w:spacing w:line="320" w:lineRule="exact"/>
              <w:jc w:val="left"/>
              <w:rPr>
                <w:rFonts w:ascii="Times New Roman" w:hAnsi="Times New Roman" w:cs="Times New Roman"/>
                <w:color w:val="000000"/>
                <w:kern w:val="0"/>
              </w:rPr>
            </w:pPr>
          </w:p>
        </w:tc>
        <w:tc>
          <w:tcPr>
            <w:tcW w:w="554" w:type="dxa"/>
            <w:vMerge w:val="restart"/>
            <w:vAlign w:val="center"/>
          </w:tcPr>
          <w:p>
            <w:pPr>
              <w:widowControl/>
              <w:spacing w:line="320" w:lineRule="exact"/>
              <w:jc w:val="center"/>
              <w:rPr>
                <w:rFonts w:ascii="Times New Roman" w:hAnsi="Times New Roman" w:cs="Times New Roman"/>
                <w:color w:val="000000"/>
                <w:kern w:val="0"/>
              </w:rPr>
            </w:pPr>
            <w:r>
              <w:rPr>
                <w:rFonts w:hint="eastAsia" w:ascii="Times New Roman" w:hAnsi="宋体" w:cs="宋体"/>
                <w:color w:val="000000"/>
                <w:kern w:val="0"/>
              </w:rPr>
              <w:t>法治化</w:t>
            </w:r>
          </w:p>
        </w:tc>
        <w:tc>
          <w:tcPr>
            <w:tcW w:w="443" w:type="dxa"/>
            <w:vAlign w:val="center"/>
          </w:tcPr>
          <w:p>
            <w:pPr>
              <w:widowControl/>
              <w:spacing w:line="320" w:lineRule="exact"/>
              <w:jc w:val="center"/>
              <w:rPr>
                <w:rFonts w:ascii="Times New Roman" w:hAnsi="Times New Roman" w:cs="Times New Roman"/>
                <w:color w:val="000000"/>
                <w:kern w:val="0"/>
              </w:rPr>
            </w:pPr>
            <w:r>
              <w:rPr>
                <w:rFonts w:ascii="Times New Roman" w:hAnsi="Times New Roman" w:cs="Times New Roman"/>
                <w:color w:val="000000"/>
                <w:kern w:val="0"/>
              </w:rPr>
              <w:t>8</w:t>
            </w:r>
          </w:p>
        </w:tc>
        <w:tc>
          <w:tcPr>
            <w:tcW w:w="6370" w:type="dxa"/>
            <w:vAlign w:val="center"/>
          </w:tcPr>
          <w:p>
            <w:pPr>
              <w:widowControl/>
              <w:spacing w:line="320" w:lineRule="exact"/>
              <w:jc w:val="left"/>
              <w:rPr>
                <w:rFonts w:ascii="Times New Roman" w:hAnsi="Times New Roman" w:cs="Times New Roman"/>
                <w:color w:val="000000"/>
                <w:kern w:val="0"/>
              </w:rPr>
            </w:pPr>
            <w:r>
              <w:rPr>
                <w:rFonts w:hint="eastAsia" w:ascii="Times New Roman" w:hAnsi="宋体" w:cs="宋体"/>
                <w:color w:val="000000"/>
                <w:kern w:val="0"/>
              </w:rPr>
              <w:t>聘请法律顾问并实质性参与法治工作。</w:t>
            </w:r>
          </w:p>
        </w:tc>
        <w:tc>
          <w:tcPr>
            <w:tcW w:w="1246" w:type="dxa"/>
            <w:vAlign w:val="center"/>
          </w:tcPr>
          <w:p>
            <w:pPr>
              <w:widowControl/>
              <w:spacing w:line="320" w:lineRule="exact"/>
              <w:jc w:val="center"/>
              <w:rPr>
                <w:rFonts w:ascii="Times New Roman" w:hAnsi="Times New Roman" w:cs="Times New Roman"/>
                <w:color w:val="000000"/>
                <w:kern w:val="0"/>
              </w:rPr>
            </w:pPr>
            <w:r>
              <w:rPr>
                <w:rFonts w:ascii="Times New Roman" w:hAnsi="Times New Roman" w:cs="Times New Roman"/>
                <w:color w:val="000000"/>
                <w:kern w:val="0"/>
              </w:rPr>
              <w:t>2</w:t>
            </w:r>
            <w:r>
              <w:rPr>
                <w:rFonts w:hint="eastAsia" w:ascii="Times New Roman" w:hAnsi="宋体" w:cs="宋体"/>
                <w:color w:val="000000"/>
                <w:kern w:val="0"/>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5" w:hRule="atLeast"/>
        </w:trPr>
        <w:tc>
          <w:tcPr>
            <w:tcW w:w="497" w:type="dxa"/>
            <w:vMerge w:val="continue"/>
            <w:vAlign w:val="center"/>
          </w:tcPr>
          <w:p>
            <w:pPr>
              <w:widowControl/>
              <w:spacing w:line="320" w:lineRule="exact"/>
              <w:jc w:val="left"/>
              <w:rPr>
                <w:rFonts w:ascii="Times New Roman" w:hAnsi="Times New Roman" w:cs="Times New Roman"/>
                <w:color w:val="000000"/>
                <w:kern w:val="0"/>
              </w:rPr>
            </w:pPr>
          </w:p>
        </w:tc>
        <w:tc>
          <w:tcPr>
            <w:tcW w:w="554" w:type="dxa"/>
            <w:vMerge w:val="continue"/>
            <w:vAlign w:val="center"/>
          </w:tcPr>
          <w:p>
            <w:pPr>
              <w:widowControl/>
              <w:spacing w:line="320" w:lineRule="exact"/>
              <w:jc w:val="left"/>
              <w:rPr>
                <w:rFonts w:ascii="Times New Roman" w:hAnsi="Times New Roman" w:cs="Times New Roman"/>
                <w:color w:val="000000"/>
                <w:kern w:val="0"/>
              </w:rPr>
            </w:pPr>
          </w:p>
        </w:tc>
        <w:tc>
          <w:tcPr>
            <w:tcW w:w="443" w:type="dxa"/>
            <w:vAlign w:val="center"/>
          </w:tcPr>
          <w:p>
            <w:pPr>
              <w:widowControl/>
              <w:spacing w:line="320" w:lineRule="exact"/>
              <w:jc w:val="center"/>
              <w:rPr>
                <w:rFonts w:ascii="Times New Roman" w:hAnsi="Times New Roman" w:cs="Times New Roman"/>
                <w:color w:val="000000"/>
                <w:kern w:val="0"/>
              </w:rPr>
            </w:pPr>
            <w:r>
              <w:rPr>
                <w:rFonts w:ascii="Times New Roman" w:hAnsi="Times New Roman" w:cs="Times New Roman"/>
                <w:color w:val="000000"/>
                <w:kern w:val="0"/>
              </w:rPr>
              <w:t>9</w:t>
            </w:r>
          </w:p>
        </w:tc>
        <w:tc>
          <w:tcPr>
            <w:tcW w:w="6370" w:type="dxa"/>
            <w:vAlign w:val="center"/>
          </w:tcPr>
          <w:p>
            <w:pPr>
              <w:widowControl/>
              <w:spacing w:line="320" w:lineRule="exact"/>
              <w:jc w:val="left"/>
              <w:rPr>
                <w:rFonts w:ascii="Times New Roman" w:hAnsi="Times New Roman" w:cs="Times New Roman"/>
                <w:color w:val="000000"/>
                <w:kern w:val="0"/>
              </w:rPr>
            </w:pPr>
            <w:r>
              <w:rPr>
                <w:rFonts w:hint="eastAsia" w:ascii="Times New Roman" w:hAnsi="宋体" w:cs="宋体"/>
                <w:color w:val="000000"/>
                <w:kern w:val="0"/>
              </w:rPr>
              <w:t>制定年度普法工作计划和普法责任清单。深入开展民政法律法规规章宣传培训。</w:t>
            </w:r>
          </w:p>
        </w:tc>
        <w:tc>
          <w:tcPr>
            <w:tcW w:w="1246" w:type="dxa"/>
            <w:vAlign w:val="center"/>
          </w:tcPr>
          <w:p>
            <w:pPr>
              <w:widowControl/>
              <w:spacing w:line="320" w:lineRule="exact"/>
              <w:jc w:val="center"/>
              <w:rPr>
                <w:rFonts w:ascii="Times New Roman" w:hAnsi="Times New Roman" w:cs="Times New Roman"/>
                <w:color w:val="000000"/>
                <w:kern w:val="0"/>
              </w:rPr>
            </w:pPr>
            <w:r>
              <w:rPr>
                <w:rFonts w:ascii="Times New Roman" w:hAnsi="Times New Roman" w:cs="Times New Roman"/>
                <w:color w:val="000000"/>
                <w:kern w:val="0"/>
              </w:rPr>
              <w:t>2</w:t>
            </w:r>
            <w:r>
              <w:rPr>
                <w:rFonts w:hint="eastAsia" w:ascii="Times New Roman" w:hAnsi="宋体" w:cs="宋体"/>
                <w:color w:val="000000"/>
                <w:kern w:val="0"/>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5" w:hRule="atLeast"/>
        </w:trPr>
        <w:tc>
          <w:tcPr>
            <w:tcW w:w="497" w:type="dxa"/>
            <w:vMerge w:val="continue"/>
            <w:vAlign w:val="center"/>
          </w:tcPr>
          <w:p>
            <w:pPr>
              <w:widowControl/>
              <w:spacing w:line="320" w:lineRule="exact"/>
              <w:jc w:val="left"/>
              <w:rPr>
                <w:rFonts w:ascii="Times New Roman" w:hAnsi="Times New Roman" w:cs="Times New Roman"/>
                <w:color w:val="000000"/>
                <w:kern w:val="0"/>
              </w:rPr>
            </w:pPr>
          </w:p>
        </w:tc>
        <w:tc>
          <w:tcPr>
            <w:tcW w:w="554" w:type="dxa"/>
            <w:vMerge w:val="continue"/>
            <w:vAlign w:val="center"/>
          </w:tcPr>
          <w:p>
            <w:pPr>
              <w:widowControl/>
              <w:spacing w:line="320" w:lineRule="exact"/>
              <w:jc w:val="left"/>
              <w:rPr>
                <w:rFonts w:ascii="Times New Roman" w:hAnsi="Times New Roman" w:cs="Times New Roman"/>
                <w:color w:val="000000"/>
                <w:kern w:val="0"/>
              </w:rPr>
            </w:pPr>
          </w:p>
        </w:tc>
        <w:tc>
          <w:tcPr>
            <w:tcW w:w="443" w:type="dxa"/>
            <w:vAlign w:val="center"/>
          </w:tcPr>
          <w:p>
            <w:pPr>
              <w:widowControl/>
              <w:spacing w:line="320" w:lineRule="exact"/>
              <w:jc w:val="center"/>
              <w:rPr>
                <w:rFonts w:ascii="Times New Roman" w:hAnsi="Times New Roman" w:cs="Times New Roman"/>
                <w:color w:val="000000"/>
                <w:kern w:val="0"/>
              </w:rPr>
            </w:pPr>
            <w:r>
              <w:rPr>
                <w:rFonts w:ascii="Times New Roman" w:hAnsi="Times New Roman" w:cs="Times New Roman"/>
                <w:color w:val="000000"/>
                <w:kern w:val="0"/>
              </w:rPr>
              <w:t>10</w:t>
            </w:r>
          </w:p>
        </w:tc>
        <w:tc>
          <w:tcPr>
            <w:tcW w:w="6370" w:type="dxa"/>
            <w:vAlign w:val="center"/>
          </w:tcPr>
          <w:p>
            <w:pPr>
              <w:widowControl/>
              <w:spacing w:line="320" w:lineRule="exact"/>
              <w:jc w:val="left"/>
              <w:rPr>
                <w:rFonts w:ascii="Times New Roman" w:hAnsi="Times New Roman" w:cs="Times New Roman"/>
                <w:color w:val="000000"/>
                <w:kern w:val="0"/>
              </w:rPr>
            </w:pPr>
            <w:r>
              <w:rPr>
                <w:rFonts w:hint="eastAsia" w:ascii="Times New Roman" w:hAnsi="宋体" w:cs="宋体"/>
                <w:color w:val="000000"/>
                <w:kern w:val="0"/>
              </w:rPr>
              <w:t>建立民政执法全过程记录制度。每年组织对社会组织、救助、殡葬、慈善等民政重点管理领域进行专项执法检查</w:t>
            </w:r>
            <w:r>
              <w:rPr>
                <w:rFonts w:ascii="Times New Roman" w:hAnsi="Times New Roman" w:cs="Times New Roman"/>
                <w:color w:val="000000"/>
                <w:kern w:val="0"/>
              </w:rPr>
              <w:t>1</w:t>
            </w:r>
            <w:r>
              <w:rPr>
                <w:rFonts w:hint="eastAsia" w:ascii="Times New Roman" w:hAnsi="宋体" w:cs="宋体"/>
                <w:color w:val="000000"/>
                <w:kern w:val="0"/>
              </w:rPr>
              <w:t>次以上。行政许可、行政处罚、行政给付、行政确认案卷规范合法。建立民政部门负责人出庭应诉制度。</w:t>
            </w:r>
          </w:p>
        </w:tc>
        <w:tc>
          <w:tcPr>
            <w:tcW w:w="1246" w:type="dxa"/>
            <w:vAlign w:val="center"/>
          </w:tcPr>
          <w:p>
            <w:pPr>
              <w:widowControl/>
              <w:spacing w:line="320" w:lineRule="exact"/>
              <w:jc w:val="center"/>
              <w:rPr>
                <w:rFonts w:ascii="Times New Roman" w:hAnsi="Times New Roman" w:cs="Times New Roman"/>
                <w:color w:val="000000"/>
                <w:kern w:val="0"/>
              </w:rPr>
            </w:pPr>
            <w:r>
              <w:rPr>
                <w:rFonts w:ascii="Times New Roman" w:hAnsi="Times New Roman" w:cs="Times New Roman"/>
                <w:color w:val="000000"/>
                <w:kern w:val="0"/>
              </w:rPr>
              <w:t>6</w:t>
            </w:r>
            <w:r>
              <w:rPr>
                <w:rFonts w:hint="eastAsia" w:ascii="Times New Roman" w:hAnsi="宋体" w:cs="宋体"/>
                <w:color w:val="000000"/>
                <w:kern w:val="0"/>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50" w:hRule="atLeast"/>
        </w:trPr>
        <w:tc>
          <w:tcPr>
            <w:tcW w:w="497" w:type="dxa"/>
            <w:vMerge w:val="continue"/>
            <w:vAlign w:val="center"/>
          </w:tcPr>
          <w:p>
            <w:pPr>
              <w:widowControl/>
              <w:spacing w:line="320" w:lineRule="exact"/>
              <w:jc w:val="left"/>
              <w:rPr>
                <w:rFonts w:ascii="Times New Roman" w:hAnsi="Times New Roman" w:cs="Times New Roman"/>
                <w:color w:val="000000"/>
                <w:kern w:val="0"/>
              </w:rPr>
            </w:pPr>
          </w:p>
        </w:tc>
        <w:tc>
          <w:tcPr>
            <w:tcW w:w="554" w:type="dxa"/>
            <w:vMerge w:val="continue"/>
            <w:vAlign w:val="center"/>
          </w:tcPr>
          <w:p>
            <w:pPr>
              <w:widowControl/>
              <w:spacing w:line="320" w:lineRule="exact"/>
              <w:jc w:val="left"/>
              <w:rPr>
                <w:rFonts w:ascii="Times New Roman" w:hAnsi="Times New Roman" w:cs="Times New Roman"/>
                <w:color w:val="000000"/>
                <w:kern w:val="0"/>
              </w:rPr>
            </w:pPr>
          </w:p>
        </w:tc>
        <w:tc>
          <w:tcPr>
            <w:tcW w:w="443" w:type="dxa"/>
            <w:vAlign w:val="center"/>
          </w:tcPr>
          <w:p>
            <w:pPr>
              <w:widowControl/>
              <w:spacing w:line="320" w:lineRule="exact"/>
              <w:jc w:val="center"/>
              <w:rPr>
                <w:rFonts w:ascii="Times New Roman" w:hAnsi="Times New Roman" w:cs="Times New Roman"/>
                <w:color w:val="000000"/>
                <w:kern w:val="0"/>
              </w:rPr>
            </w:pPr>
            <w:r>
              <w:rPr>
                <w:rFonts w:ascii="Times New Roman" w:hAnsi="Times New Roman" w:cs="Times New Roman"/>
                <w:color w:val="000000"/>
                <w:kern w:val="0"/>
              </w:rPr>
              <w:t>11</w:t>
            </w:r>
          </w:p>
        </w:tc>
        <w:tc>
          <w:tcPr>
            <w:tcW w:w="6370" w:type="dxa"/>
            <w:vAlign w:val="center"/>
          </w:tcPr>
          <w:p>
            <w:pPr>
              <w:widowControl/>
              <w:spacing w:line="320" w:lineRule="exact"/>
              <w:jc w:val="left"/>
              <w:rPr>
                <w:rFonts w:ascii="Times New Roman" w:hAnsi="Times New Roman" w:cs="Times New Roman"/>
                <w:color w:val="000000"/>
                <w:kern w:val="0"/>
              </w:rPr>
            </w:pPr>
            <w:r>
              <w:rPr>
                <w:rFonts w:hint="eastAsia" w:ascii="Times New Roman" w:hAnsi="宋体" w:cs="宋体"/>
                <w:color w:val="000000"/>
                <w:kern w:val="0"/>
              </w:rPr>
              <w:t>建立并落实机关内部控制制度、政务公开制度，公布行政给付、行政确认、行政许可等事项的审批服务流程。</w:t>
            </w:r>
          </w:p>
        </w:tc>
        <w:tc>
          <w:tcPr>
            <w:tcW w:w="1246" w:type="dxa"/>
            <w:vAlign w:val="center"/>
          </w:tcPr>
          <w:p>
            <w:pPr>
              <w:widowControl/>
              <w:spacing w:line="320" w:lineRule="exact"/>
              <w:jc w:val="center"/>
              <w:rPr>
                <w:rFonts w:ascii="Times New Roman" w:hAnsi="Times New Roman" w:cs="Times New Roman"/>
                <w:color w:val="000000"/>
                <w:kern w:val="0"/>
              </w:rPr>
            </w:pPr>
            <w:r>
              <w:rPr>
                <w:rFonts w:ascii="Times New Roman" w:hAnsi="Times New Roman" w:cs="Times New Roman"/>
                <w:color w:val="000000"/>
                <w:kern w:val="0"/>
              </w:rPr>
              <w:t>2</w:t>
            </w:r>
            <w:r>
              <w:rPr>
                <w:rFonts w:hint="eastAsia" w:ascii="Times New Roman" w:hAnsi="宋体" w:cs="宋体"/>
                <w:color w:val="000000"/>
                <w:kern w:val="0"/>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0" w:hRule="atLeast"/>
        </w:trPr>
        <w:tc>
          <w:tcPr>
            <w:tcW w:w="497" w:type="dxa"/>
            <w:vMerge w:val="restart"/>
            <w:vAlign w:val="center"/>
          </w:tcPr>
          <w:p>
            <w:pPr>
              <w:spacing w:line="320" w:lineRule="exact"/>
              <w:jc w:val="left"/>
              <w:rPr>
                <w:rFonts w:ascii="Times New Roman" w:hAnsi="Times New Roman" w:cs="Times New Roman"/>
                <w:color w:val="000000"/>
                <w:kern w:val="0"/>
              </w:rPr>
            </w:pPr>
            <w:r>
              <w:rPr>
                <w:rFonts w:hint="eastAsia" w:ascii="Times New Roman" w:hAnsi="宋体" w:cs="宋体"/>
                <w:color w:val="000000"/>
                <w:kern w:val="0"/>
              </w:rPr>
              <w:t>综合性指标</w:t>
            </w:r>
          </w:p>
        </w:tc>
        <w:tc>
          <w:tcPr>
            <w:tcW w:w="554" w:type="dxa"/>
            <w:vMerge w:val="restart"/>
            <w:vAlign w:val="center"/>
          </w:tcPr>
          <w:p>
            <w:pPr>
              <w:spacing w:line="320" w:lineRule="exact"/>
              <w:jc w:val="center"/>
              <w:rPr>
                <w:rFonts w:ascii="Times New Roman" w:hAnsi="Times New Roman" w:cs="Times New Roman"/>
                <w:color w:val="000000"/>
                <w:kern w:val="0"/>
              </w:rPr>
            </w:pPr>
            <w:r>
              <w:rPr>
                <w:rFonts w:hint="eastAsia" w:ascii="Times New Roman" w:hAnsi="宋体" w:cs="宋体"/>
                <w:color w:val="000000"/>
                <w:kern w:val="0"/>
              </w:rPr>
              <w:t>标准化</w:t>
            </w:r>
          </w:p>
        </w:tc>
        <w:tc>
          <w:tcPr>
            <w:tcW w:w="443" w:type="dxa"/>
            <w:vAlign w:val="center"/>
          </w:tcPr>
          <w:p>
            <w:pPr>
              <w:widowControl/>
              <w:spacing w:line="320" w:lineRule="exact"/>
              <w:jc w:val="center"/>
              <w:rPr>
                <w:rFonts w:ascii="Times New Roman" w:hAnsi="Times New Roman" w:cs="Times New Roman"/>
                <w:color w:val="000000"/>
                <w:kern w:val="0"/>
              </w:rPr>
            </w:pPr>
            <w:r>
              <w:rPr>
                <w:rFonts w:ascii="Times New Roman" w:hAnsi="Times New Roman" w:cs="Times New Roman"/>
                <w:color w:val="000000"/>
                <w:kern w:val="0"/>
              </w:rPr>
              <w:t>12</w:t>
            </w:r>
          </w:p>
        </w:tc>
        <w:tc>
          <w:tcPr>
            <w:tcW w:w="6370" w:type="dxa"/>
            <w:vAlign w:val="center"/>
          </w:tcPr>
          <w:p>
            <w:pPr>
              <w:widowControl/>
              <w:spacing w:line="300" w:lineRule="exact"/>
              <w:jc w:val="left"/>
              <w:rPr>
                <w:rFonts w:ascii="Times New Roman" w:hAnsi="Times New Roman" w:cs="Times New Roman"/>
                <w:color w:val="000000"/>
                <w:kern w:val="0"/>
              </w:rPr>
            </w:pPr>
            <w:r>
              <w:rPr>
                <w:rFonts w:hint="eastAsia" w:ascii="Times New Roman" w:hAnsi="宋体" w:cs="宋体"/>
                <w:color w:val="000000"/>
                <w:kern w:val="0"/>
              </w:rPr>
              <w:t>贯彻落实《养老机构服务质量基本规范》，开展养老机构等级评估和养老机构内老年人能力评估。</w:t>
            </w:r>
          </w:p>
        </w:tc>
        <w:tc>
          <w:tcPr>
            <w:tcW w:w="1246" w:type="dxa"/>
            <w:vAlign w:val="center"/>
          </w:tcPr>
          <w:p>
            <w:pPr>
              <w:widowControl/>
              <w:spacing w:line="320" w:lineRule="exact"/>
              <w:jc w:val="center"/>
              <w:rPr>
                <w:rFonts w:ascii="Times New Roman" w:hAnsi="Times New Roman" w:cs="Times New Roman"/>
                <w:color w:val="000000"/>
                <w:kern w:val="0"/>
              </w:rPr>
            </w:pPr>
            <w:r>
              <w:rPr>
                <w:rFonts w:ascii="Times New Roman" w:hAnsi="Times New Roman" w:cs="Times New Roman"/>
                <w:color w:val="000000"/>
                <w:kern w:val="0"/>
              </w:rPr>
              <w:t>2</w:t>
            </w:r>
            <w:r>
              <w:rPr>
                <w:rFonts w:hint="eastAsia" w:ascii="Times New Roman" w:hAnsi="宋体" w:cs="宋体"/>
                <w:color w:val="000000"/>
                <w:kern w:val="0"/>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60" w:hRule="atLeast"/>
        </w:trPr>
        <w:tc>
          <w:tcPr>
            <w:tcW w:w="497" w:type="dxa"/>
            <w:vMerge w:val="continue"/>
            <w:vAlign w:val="center"/>
          </w:tcPr>
          <w:p>
            <w:pPr>
              <w:spacing w:line="320" w:lineRule="exact"/>
              <w:jc w:val="left"/>
              <w:rPr>
                <w:rFonts w:ascii="Times New Roman" w:hAnsi="Times New Roman" w:cs="Times New Roman"/>
                <w:color w:val="000000"/>
                <w:kern w:val="0"/>
              </w:rPr>
            </w:pPr>
          </w:p>
        </w:tc>
        <w:tc>
          <w:tcPr>
            <w:tcW w:w="554" w:type="dxa"/>
            <w:vMerge w:val="continue"/>
            <w:vAlign w:val="center"/>
          </w:tcPr>
          <w:p>
            <w:pPr>
              <w:spacing w:line="320" w:lineRule="exact"/>
              <w:jc w:val="left"/>
              <w:rPr>
                <w:rFonts w:ascii="Times New Roman" w:hAnsi="Times New Roman" w:cs="Times New Roman"/>
                <w:color w:val="000000"/>
                <w:kern w:val="0"/>
              </w:rPr>
            </w:pPr>
          </w:p>
        </w:tc>
        <w:tc>
          <w:tcPr>
            <w:tcW w:w="443" w:type="dxa"/>
            <w:vAlign w:val="center"/>
          </w:tcPr>
          <w:p>
            <w:pPr>
              <w:widowControl/>
              <w:spacing w:line="320" w:lineRule="exact"/>
              <w:jc w:val="center"/>
              <w:rPr>
                <w:rFonts w:ascii="Times New Roman" w:hAnsi="Times New Roman" w:cs="Times New Roman"/>
                <w:color w:val="000000"/>
                <w:kern w:val="0"/>
              </w:rPr>
            </w:pPr>
            <w:r>
              <w:rPr>
                <w:rFonts w:ascii="Times New Roman" w:hAnsi="Times New Roman" w:cs="Times New Roman"/>
                <w:color w:val="000000"/>
                <w:kern w:val="0"/>
              </w:rPr>
              <w:t>13</w:t>
            </w:r>
          </w:p>
        </w:tc>
        <w:tc>
          <w:tcPr>
            <w:tcW w:w="6370" w:type="dxa"/>
            <w:vAlign w:val="center"/>
          </w:tcPr>
          <w:p>
            <w:pPr>
              <w:widowControl/>
              <w:spacing w:line="300" w:lineRule="exact"/>
              <w:jc w:val="left"/>
              <w:rPr>
                <w:rFonts w:ascii="Times New Roman" w:hAnsi="Times New Roman" w:cs="Times New Roman"/>
                <w:color w:val="000000"/>
                <w:kern w:val="0"/>
              </w:rPr>
            </w:pPr>
            <w:r>
              <w:rPr>
                <w:rFonts w:hint="eastAsia" w:ascii="Times New Roman" w:hAnsi="宋体" w:cs="宋体"/>
                <w:color w:val="000000"/>
                <w:kern w:val="0"/>
              </w:rPr>
              <w:t>儿童福利机构按标准建设，功能区域设置齐全，儿童生活及活动区域实现无障碍环境，安装视频监控系统。</w:t>
            </w:r>
          </w:p>
        </w:tc>
        <w:tc>
          <w:tcPr>
            <w:tcW w:w="1246" w:type="dxa"/>
            <w:vAlign w:val="center"/>
          </w:tcPr>
          <w:p>
            <w:pPr>
              <w:widowControl/>
              <w:spacing w:line="320" w:lineRule="exact"/>
              <w:jc w:val="center"/>
              <w:rPr>
                <w:rFonts w:ascii="Times New Roman" w:hAnsi="Times New Roman" w:cs="Times New Roman"/>
                <w:color w:val="000000"/>
                <w:kern w:val="0"/>
              </w:rPr>
            </w:pPr>
            <w:r>
              <w:rPr>
                <w:rFonts w:ascii="Times New Roman" w:hAnsi="Times New Roman" w:cs="Times New Roman"/>
                <w:color w:val="000000"/>
                <w:kern w:val="0"/>
              </w:rPr>
              <w:t>2</w:t>
            </w:r>
            <w:r>
              <w:rPr>
                <w:rFonts w:hint="eastAsia" w:ascii="Times New Roman" w:hAnsi="宋体" w:cs="宋体"/>
                <w:color w:val="000000"/>
                <w:kern w:val="0"/>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0" w:hRule="atLeast"/>
        </w:trPr>
        <w:tc>
          <w:tcPr>
            <w:tcW w:w="497" w:type="dxa"/>
            <w:vMerge w:val="continue"/>
            <w:vAlign w:val="center"/>
          </w:tcPr>
          <w:p>
            <w:pPr>
              <w:spacing w:line="320" w:lineRule="exact"/>
              <w:jc w:val="left"/>
              <w:rPr>
                <w:rFonts w:ascii="Times New Roman" w:hAnsi="Times New Roman" w:cs="Times New Roman"/>
                <w:color w:val="000000"/>
                <w:kern w:val="0"/>
              </w:rPr>
            </w:pPr>
          </w:p>
        </w:tc>
        <w:tc>
          <w:tcPr>
            <w:tcW w:w="554" w:type="dxa"/>
            <w:vMerge w:val="continue"/>
            <w:vAlign w:val="center"/>
          </w:tcPr>
          <w:p>
            <w:pPr>
              <w:spacing w:line="320" w:lineRule="exact"/>
              <w:jc w:val="left"/>
              <w:rPr>
                <w:rFonts w:ascii="Times New Roman" w:hAnsi="Times New Roman" w:cs="Times New Roman"/>
                <w:color w:val="000000"/>
                <w:kern w:val="0"/>
              </w:rPr>
            </w:pPr>
          </w:p>
        </w:tc>
        <w:tc>
          <w:tcPr>
            <w:tcW w:w="443" w:type="dxa"/>
            <w:vAlign w:val="center"/>
          </w:tcPr>
          <w:p>
            <w:pPr>
              <w:widowControl/>
              <w:spacing w:line="320" w:lineRule="exact"/>
              <w:jc w:val="center"/>
              <w:rPr>
                <w:rFonts w:ascii="Times New Roman" w:hAnsi="Times New Roman" w:cs="Times New Roman"/>
                <w:color w:val="000000"/>
                <w:kern w:val="0"/>
              </w:rPr>
            </w:pPr>
            <w:r>
              <w:rPr>
                <w:rFonts w:ascii="Times New Roman" w:hAnsi="Times New Roman" w:cs="Times New Roman"/>
                <w:color w:val="000000"/>
                <w:kern w:val="0"/>
              </w:rPr>
              <w:t>14</w:t>
            </w:r>
          </w:p>
        </w:tc>
        <w:tc>
          <w:tcPr>
            <w:tcW w:w="6370" w:type="dxa"/>
            <w:vAlign w:val="center"/>
          </w:tcPr>
          <w:p>
            <w:pPr>
              <w:widowControl/>
              <w:spacing w:line="300" w:lineRule="exact"/>
              <w:jc w:val="left"/>
              <w:rPr>
                <w:rFonts w:ascii="Times New Roman" w:hAnsi="Times New Roman" w:cs="Times New Roman"/>
                <w:color w:val="000000"/>
                <w:kern w:val="0"/>
              </w:rPr>
            </w:pPr>
            <w:r>
              <w:rPr>
                <w:rFonts w:hint="eastAsia" w:ascii="Times New Roman" w:hAnsi="宋体" w:cs="宋体"/>
                <w:color w:val="000000"/>
                <w:kern w:val="0"/>
              </w:rPr>
              <w:t>年内新建</w:t>
            </w:r>
            <w:r>
              <w:rPr>
                <w:rFonts w:ascii="Times New Roman" w:hAnsi="Times New Roman" w:cs="Times New Roman"/>
                <w:color w:val="000000"/>
                <w:kern w:val="0"/>
              </w:rPr>
              <w:t>10</w:t>
            </w:r>
            <w:r>
              <w:rPr>
                <w:rFonts w:hint="eastAsia" w:ascii="Times New Roman" w:hAnsi="宋体" w:cs="宋体"/>
                <w:color w:val="000000"/>
                <w:kern w:val="0"/>
              </w:rPr>
              <w:t>个以上村（社区）示范性儿童之家，建设面积达到相关标准，功能区设置齐全，制度完备、档案健全。</w:t>
            </w:r>
            <w:r>
              <w:rPr>
                <w:rFonts w:ascii="Times New Roman" w:hAnsi="Times New Roman" w:cs="Times New Roman"/>
                <w:color w:val="000000"/>
                <w:kern w:val="0"/>
              </w:rPr>
              <w:t>2019</w:t>
            </w:r>
            <w:r>
              <w:rPr>
                <w:rFonts w:hint="eastAsia" w:ascii="Times New Roman" w:hAnsi="宋体" w:cs="宋体"/>
                <w:color w:val="000000"/>
                <w:kern w:val="0"/>
              </w:rPr>
              <w:t>年村级儿童之家覆盖率达到</w:t>
            </w:r>
            <w:r>
              <w:rPr>
                <w:rFonts w:ascii="Times New Roman" w:hAnsi="Times New Roman" w:cs="Times New Roman"/>
                <w:color w:val="000000"/>
                <w:kern w:val="0"/>
              </w:rPr>
              <w:t>90%</w:t>
            </w:r>
            <w:r>
              <w:rPr>
                <w:rFonts w:hint="eastAsia" w:ascii="Times New Roman" w:hAnsi="宋体" w:cs="宋体"/>
                <w:color w:val="000000"/>
                <w:kern w:val="0"/>
              </w:rPr>
              <w:t>。</w:t>
            </w:r>
          </w:p>
        </w:tc>
        <w:tc>
          <w:tcPr>
            <w:tcW w:w="1246" w:type="dxa"/>
            <w:vAlign w:val="center"/>
          </w:tcPr>
          <w:p>
            <w:pPr>
              <w:widowControl/>
              <w:spacing w:line="320" w:lineRule="exact"/>
              <w:jc w:val="center"/>
              <w:rPr>
                <w:rFonts w:ascii="Times New Roman" w:hAnsi="Times New Roman" w:cs="Times New Roman"/>
                <w:color w:val="000000"/>
                <w:kern w:val="0"/>
              </w:rPr>
            </w:pPr>
            <w:r>
              <w:rPr>
                <w:rFonts w:ascii="Times New Roman" w:hAnsi="Times New Roman" w:cs="Times New Roman"/>
                <w:color w:val="000000"/>
                <w:kern w:val="0"/>
              </w:rPr>
              <w:t>5</w:t>
            </w:r>
            <w:r>
              <w:rPr>
                <w:rFonts w:hint="eastAsia" w:ascii="Times New Roman" w:hAnsi="宋体" w:cs="宋体"/>
                <w:color w:val="000000"/>
                <w:kern w:val="0"/>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497" w:type="dxa"/>
            <w:vMerge w:val="continue"/>
            <w:vAlign w:val="center"/>
          </w:tcPr>
          <w:p>
            <w:pPr>
              <w:widowControl/>
              <w:spacing w:line="320" w:lineRule="exact"/>
              <w:jc w:val="left"/>
              <w:rPr>
                <w:rFonts w:ascii="Times New Roman" w:hAnsi="Times New Roman" w:cs="Times New Roman"/>
                <w:color w:val="000000"/>
                <w:kern w:val="0"/>
              </w:rPr>
            </w:pPr>
          </w:p>
        </w:tc>
        <w:tc>
          <w:tcPr>
            <w:tcW w:w="554" w:type="dxa"/>
            <w:vMerge w:val="continue"/>
            <w:vAlign w:val="center"/>
          </w:tcPr>
          <w:p>
            <w:pPr>
              <w:widowControl/>
              <w:spacing w:line="320" w:lineRule="exact"/>
              <w:jc w:val="left"/>
              <w:rPr>
                <w:rFonts w:ascii="Times New Roman" w:hAnsi="Times New Roman" w:cs="Times New Roman"/>
                <w:color w:val="000000"/>
                <w:kern w:val="0"/>
              </w:rPr>
            </w:pPr>
          </w:p>
        </w:tc>
        <w:tc>
          <w:tcPr>
            <w:tcW w:w="443" w:type="dxa"/>
            <w:vAlign w:val="center"/>
          </w:tcPr>
          <w:p>
            <w:pPr>
              <w:widowControl/>
              <w:spacing w:line="320" w:lineRule="exact"/>
              <w:jc w:val="center"/>
              <w:rPr>
                <w:rFonts w:ascii="Times New Roman" w:hAnsi="Times New Roman" w:cs="Times New Roman"/>
                <w:color w:val="000000"/>
                <w:kern w:val="0"/>
              </w:rPr>
            </w:pPr>
            <w:r>
              <w:rPr>
                <w:rFonts w:ascii="Times New Roman" w:hAnsi="Times New Roman" w:cs="Times New Roman"/>
                <w:color w:val="000000"/>
                <w:kern w:val="0"/>
              </w:rPr>
              <w:t>15</w:t>
            </w:r>
          </w:p>
        </w:tc>
        <w:tc>
          <w:tcPr>
            <w:tcW w:w="6370" w:type="dxa"/>
            <w:vAlign w:val="center"/>
          </w:tcPr>
          <w:p>
            <w:pPr>
              <w:widowControl/>
              <w:spacing w:line="300" w:lineRule="exact"/>
              <w:jc w:val="left"/>
              <w:rPr>
                <w:rFonts w:ascii="Times New Roman" w:hAnsi="Times New Roman" w:cs="Times New Roman"/>
                <w:color w:val="000000"/>
                <w:kern w:val="0"/>
              </w:rPr>
            </w:pPr>
            <w:r>
              <w:rPr>
                <w:rFonts w:hint="eastAsia" w:ascii="Times New Roman" w:hAnsi="宋体" w:cs="宋体"/>
                <w:color w:val="000000"/>
                <w:kern w:val="0"/>
              </w:rPr>
              <w:t>救助站达到三级以上标准。</w:t>
            </w:r>
          </w:p>
        </w:tc>
        <w:tc>
          <w:tcPr>
            <w:tcW w:w="1246" w:type="dxa"/>
            <w:vAlign w:val="center"/>
          </w:tcPr>
          <w:p>
            <w:pPr>
              <w:widowControl/>
              <w:spacing w:line="320" w:lineRule="exact"/>
              <w:jc w:val="center"/>
              <w:rPr>
                <w:rFonts w:ascii="Times New Roman" w:hAnsi="Times New Roman" w:cs="Times New Roman"/>
                <w:color w:val="000000"/>
                <w:kern w:val="0"/>
              </w:rPr>
            </w:pPr>
            <w:r>
              <w:rPr>
                <w:rFonts w:ascii="Times New Roman" w:hAnsi="Times New Roman" w:cs="Times New Roman"/>
                <w:color w:val="000000"/>
                <w:kern w:val="0"/>
              </w:rPr>
              <w:t>2</w:t>
            </w:r>
            <w:r>
              <w:rPr>
                <w:rFonts w:hint="eastAsia" w:ascii="Times New Roman" w:hAnsi="宋体" w:cs="宋体"/>
                <w:color w:val="000000"/>
                <w:kern w:val="0"/>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50" w:hRule="atLeast"/>
        </w:trPr>
        <w:tc>
          <w:tcPr>
            <w:tcW w:w="497" w:type="dxa"/>
            <w:vMerge w:val="continue"/>
            <w:vAlign w:val="center"/>
          </w:tcPr>
          <w:p>
            <w:pPr>
              <w:widowControl/>
              <w:spacing w:line="320" w:lineRule="exact"/>
              <w:jc w:val="left"/>
              <w:rPr>
                <w:rFonts w:ascii="Times New Roman" w:hAnsi="Times New Roman" w:cs="Times New Roman"/>
                <w:color w:val="000000"/>
                <w:kern w:val="0"/>
              </w:rPr>
            </w:pPr>
          </w:p>
        </w:tc>
        <w:tc>
          <w:tcPr>
            <w:tcW w:w="554" w:type="dxa"/>
            <w:vMerge w:val="continue"/>
            <w:vAlign w:val="center"/>
          </w:tcPr>
          <w:p>
            <w:pPr>
              <w:widowControl/>
              <w:spacing w:line="320" w:lineRule="exact"/>
              <w:jc w:val="left"/>
              <w:rPr>
                <w:rFonts w:ascii="Times New Roman" w:hAnsi="Times New Roman" w:cs="Times New Roman"/>
                <w:color w:val="000000"/>
                <w:kern w:val="0"/>
              </w:rPr>
            </w:pPr>
          </w:p>
        </w:tc>
        <w:tc>
          <w:tcPr>
            <w:tcW w:w="443" w:type="dxa"/>
            <w:vAlign w:val="center"/>
          </w:tcPr>
          <w:p>
            <w:pPr>
              <w:widowControl/>
              <w:spacing w:line="320" w:lineRule="exact"/>
              <w:jc w:val="center"/>
              <w:rPr>
                <w:rFonts w:ascii="Times New Roman" w:hAnsi="Times New Roman" w:cs="Times New Roman"/>
                <w:color w:val="000000"/>
                <w:kern w:val="0"/>
              </w:rPr>
            </w:pPr>
            <w:r>
              <w:rPr>
                <w:rFonts w:ascii="Times New Roman" w:hAnsi="Times New Roman" w:cs="Times New Roman"/>
                <w:color w:val="000000"/>
                <w:kern w:val="0"/>
              </w:rPr>
              <w:t>16</w:t>
            </w:r>
          </w:p>
        </w:tc>
        <w:tc>
          <w:tcPr>
            <w:tcW w:w="6370" w:type="dxa"/>
            <w:vAlign w:val="center"/>
          </w:tcPr>
          <w:p>
            <w:pPr>
              <w:widowControl/>
              <w:spacing w:line="300" w:lineRule="exact"/>
              <w:jc w:val="left"/>
              <w:rPr>
                <w:rFonts w:ascii="Times New Roman" w:hAnsi="Times New Roman" w:cs="Times New Roman"/>
                <w:color w:val="000000"/>
                <w:kern w:val="0"/>
              </w:rPr>
            </w:pPr>
            <w:r>
              <w:rPr>
                <w:rFonts w:hint="eastAsia" w:ascii="Times New Roman" w:hAnsi="宋体" w:cs="宋体"/>
                <w:color w:val="000000"/>
                <w:kern w:val="0"/>
              </w:rPr>
              <w:t>婚姻登记机构达到</w:t>
            </w:r>
            <w:r>
              <w:rPr>
                <w:rFonts w:ascii="Times New Roman" w:hAnsi="Times New Roman" w:cs="Times New Roman"/>
                <w:color w:val="000000"/>
                <w:kern w:val="0"/>
              </w:rPr>
              <w:t>3A</w:t>
            </w:r>
            <w:r>
              <w:rPr>
                <w:rFonts w:hint="eastAsia" w:ascii="Times New Roman" w:hAnsi="宋体" w:cs="宋体"/>
                <w:color w:val="000000"/>
                <w:kern w:val="0"/>
              </w:rPr>
              <w:t>以上标准，提供网上预约服务、家庭辅导服务、婚姻颁证服务，婚姻登记机构全免费服务、无违规收费现象，建国以来保存的所有婚姻登记档案录入婚姻登记信息系统。</w:t>
            </w:r>
          </w:p>
        </w:tc>
        <w:tc>
          <w:tcPr>
            <w:tcW w:w="1246" w:type="dxa"/>
            <w:vAlign w:val="center"/>
          </w:tcPr>
          <w:p>
            <w:pPr>
              <w:widowControl/>
              <w:spacing w:line="320" w:lineRule="exact"/>
              <w:jc w:val="center"/>
              <w:rPr>
                <w:rFonts w:ascii="Times New Roman" w:hAnsi="Times New Roman" w:cs="Times New Roman"/>
                <w:color w:val="000000"/>
                <w:kern w:val="0"/>
              </w:rPr>
            </w:pPr>
            <w:r>
              <w:rPr>
                <w:rFonts w:ascii="Times New Roman" w:hAnsi="Times New Roman" w:cs="Times New Roman"/>
                <w:color w:val="000000"/>
                <w:kern w:val="0"/>
              </w:rPr>
              <w:t>3</w:t>
            </w:r>
            <w:r>
              <w:rPr>
                <w:rFonts w:hint="eastAsia" w:ascii="Times New Roman" w:hAnsi="宋体" w:cs="宋体"/>
                <w:color w:val="000000"/>
                <w:kern w:val="0"/>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0" w:hRule="atLeast"/>
        </w:trPr>
        <w:tc>
          <w:tcPr>
            <w:tcW w:w="497" w:type="dxa"/>
            <w:vMerge w:val="continue"/>
            <w:vAlign w:val="center"/>
          </w:tcPr>
          <w:p>
            <w:pPr>
              <w:widowControl/>
              <w:spacing w:line="320" w:lineRule="exact"/>
              <w:jc w:val="left"/>
              <w:rPr>
                <w:rFonts w:ascii="Times New Roman" w:hAnsi="Times New Roman" w:cs="Times New Roman"/>
                <w:color w:val="000000"/>
                <w:kern w:val="0"/>
              </w:rPr>
            </w:pPr>
          </w:p>
        </w:tc>
        <w:tc>
          <w:tcPr>
            <w:tcW w:w="554" w:type="dxa"/>
            <w:vMerge w:val="continue"/>
            <w:vAlign w:val="center"/>
          </w:tcPr>
          <w:p>
            <w:pPr>
              <w:widowControl/>
              <w:spacing w:line="320" w:lineRule="exact"/>
              <w:jc w:val="left"/>
              <w:rPr>
                <w:rFonts w:ascii="Times New Roman" w:hAnsi="Times New Roman" w:cs="Times New Roman"/>
                <w:color w:val="000000"/>
                <w:kern w:val="0"/>
              </w:rPr>
            </w:pPr>
          </w:p>
        </w:tc>
        <w:tc>
          <w:tcPr>
            <w:tcW w:w="443" w:type="dxa"/>
            <w:vAlign w:val="center"/>
          </w:tcPr>
          <w:p>
            <w:pPr>
              <w:widowControl/>
              <w:spacing w:line="320" w:lineRule="exact"/>
              <w:jc w:val="center"/>
              <w:rPr>
                <w:rFonts w:ascii="Times New Roman" w:hAnsi="Times New Roman" w:cs="Times New Roman"/>
                <w:color w:val="000000"/>
                <w:kern w:val="0"/>
              </w:rPr>
            </w:pPr>
            <w:r>
              <w:rPr>
                <w:rFonts w:ascii="Times New Roman" w:hAnsi="Times New Roman" w:cs="Times New Roman"/>
                <w:color w:val="000000"/>
                <w:kern w:val="0"/>
              </w:rPr>
              <w:t>17</w:t>
            </w:r>
          </w:p>
        </w:tc>
        <w:tc>
          <w:tcPr>
            <w:tcW w:w="6370" w:type="dxa"/>
            <w:vAlign w:val="center"/>
          </w:tcPr>
          <w:p>
            <w:pPr>
              <w:widowControl/>
              <w:spacing w:line="300" w:lineRule="exact"/>
              <w:jc w:val="left"/>
              <w:rPr>
                <w:rFonts w:ascii="Times New Roman" w:hAnsi="Times New Roman" w:cs="Times New Roman"/>
                <w:color w:val="000000"/>
                <w:kern w:val="0"/>
              </w:rPr>
            </w:pPr>
            <w:r>
              <w:rPr>
                <w:rFonts w:hint="eastAsia" w:ascii="Times New Roman" w:hAnsi="宋体" w:cs="宋体"/>
                <w:color w:val="000000"/>
                <w:kern w:val="0"/>
              </w:rPr>
              <w:t>有功能合理、满足需求的殡仪馆、县级公墓、农村公益性墓地等殡葬基础设施，出台节地生态奖补政策，节地生态安葬率</w:t>
            </w:r>
            <w:r>
              <w:rPr>
                <w:rFonts w:ascii="Times New Roman" w:hAnsi="Times New Roman" w:cs="Times New Roman"/>
                <w:color w:val="000000"/>
                <w:kern w:val="0"/>
              </w:rPr>
              <w:t>2019</w:t>
            </w:r>
            <w:r>
              <w:rPr>
                <w:rFonts w:hint="eastAsia" w:ascii="Times New Roman" w:hAnsi="宋体" w:cs="宋体"/>
                <w:color w:val="000000"/>
                <w:kern w:val="0"/>
              </w:rPr>
              <w:t>年达到</w:t>
            </w:r>
            <w:r>
              <w:rPr>
                <w:rFonts w:ascii="Times New Roman" w:hAnsi="Times New Roman" w:cs="Times New Roman"/>
                <w:color w:val="000000"/>
                <w:kern w:val="0"/>
              </w:rPr>
              <w:t>50%</w:t>
            </w:r>
            <w:r>
              <w:rPr>
                <w:rFonts w:hint="eastAsia" w:ascii="Times New Roman" w:hAnsi="宋体" w:cs="宋体"/>
                <w:color w:val="000000"/>
                <w:kern w:val="0"/>
              </w:rPr>
              <w:t>，火化率较上一年度提高</w:t>
            </w:r>
            <w:r>
              <w:rPr>
                <w:rFonts w:ascii="Times New Roman" w:hAnsi="Times New Roman" w:cs="Times New Roman"/>
                <w:color w:val="000000"/>
                <w:kern w:val="0"/>
              </w:rPr>
              <w:t>2%</w:t>
            </w:r>
            <w:r>
              <w:rPr>
                <w:rFonts w:hint="eastAsia" w:ascii="Times New Roman" w:hAnsi="宋体" w:cs="宋体"/>
                <w:color w:val="000000"/>
                <w:kern w:val="0"/>
              </w:rPr>
              <w:t>。</w:t>
            </w:r>
          </w:p>
        </w:tc>
        <w:tc>
          <w:tcPr>
            <w:tcW w:w="1246" w:type="dxa"/>
            <w:vAlign w:val="center"/>
          </w:tcPr>
          <w:p>
            <w:pPr>
              <w:widowControl/>
              <w:spacing w:line="320" w:lineRule="exact"/>
              <w:jc w:val="center"/>
              <w:rPr>
                <w:rFonts w:ascii="Times New Roman" w:hAnsi="Times New Roman" w:cs="Times New Roman"/>
                <w:color w:val="000000"/>
                <w:kern w:val="0"/>
              </w:rPr>
            </w:pPr>
            <w:r>
              <w:rPr>
                <w:rFonts w:ascii="Times New Roman" w:hAnsi="Times New Roman" w:cs="Times New Roman"/>
                <w:color w:val="000000"/>
                <w:kern w:val="0"/>
              </w:rPr>
              <w:t>4</w:t>
            </w:r>
            <w:r>
              <w:rPr>
                <w:rFonts w:hint="eastAsia" w:ascii="Times New Roman" w:hAnsi="宋体" w:cs="宋体"/>
                <w:color w:val="000000"/>
                <w:kern w:val="0"/>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5" w:hRule="atLeast"/>
        </w:trPr>
        <w:tc>
          <w:tcPr>
            <w:tcW w:w="497" w:type="dxa"/>
            <w:vMerge w:val="continue"/>
            <w:vAlign w:val="center"/>
          </w:tcPr>
          <w:p>
            <w:pPr>
              <w:widowControl/>
              <w:spacing w:line="320" w:lineRule="exact"/>
              <w:jc w:val="left"/>
              <w:rPr>
                <w:rFonts w:ascii="Times New Roman" w:hAnsi="Times New Roman" w:cs="Times New Roman"/>
                <w:color w:val="000000"/>
                <w:kern w:val="0"/>
              </w:rPr>
            </w:pPr>
          </w:p>
        </w:tc>
        <w:tc>
          <w:tcPr>
            <w:tcW w:w="554" w:type="dxa"/>
            <w:vMerge w:val="continue"/>
            <w:vAlign w:val="center"/>
          </w:tcPr>
          <w:p>
            <w:pPr>
              <w:widowControl/>
              <w:spacing w:line="320" w:lineRule="exact"/>
              <w:jc w:val="left"/>
              <w:rPr>
                <w:rFonts w:ascii="Times New Roman" w:hAnsi="Times New Roman" w:cs="Times New Roman"/>
                <w:color w:val="000000"/>
                <w:kern w:val="0"/>
              </w:rPr>
            </w:pPr>
          </w:p>
        </w:tc>
        <w:tc>
          <w:tcPr>
            <w:tcW w:w="443" w:type="dxa"/>
            <w:vAlign w:val="center"/>
          </w:tcPr>
          <w:p>
            <w:pPr>
              <w:widowControl/>
              <w:spacing w:line="320" w:lineRule="exact"/>
              <w:jc w:val="center"/>
              <w:rPr>
                <w:rFonts w:ascii="Times New Roman" w:hAnsi="Times New Roman" w:cs="Times New Roman"/>
                <w:color w:val="000000"/>
                <w:kern w:val="0"/>
              </w:rPr>
            </w:pPr>
            <w:r>
              <w:rPr>
                <w:rFonts w:ascii="Times New Roman" w:hAnsi="Times New Roman" w:cs="Times New Roman"/>
                <w:color w:val="000000"/>
                <w:kern w:val="0"/>
              </w:rPr>
              <w:t>18</w:t>
            </w:r>
          </w:p>
        </w:tc>
        <w:tc>
          <w:tcPr>
            <w:tcW w:w="6370" w:type="dxa"/>
            <w:vAlign w:val="center"/>
          </w:tcPr>
          <w:p>
            <w:pPr>
              <w:widowControl/>
              <w:spacing w:line="300" w:lineRule="exact"/>
              <w:jc w:val="left"/>
              <w:rPr>
                <w:rFonts w:ascii="Times New Roman" w:hAnsi="Times New Roman" w:cs="Times New Roman"/>
                <w:color w:val="000000"/>
                <w:kern w:val="0"/>
              </w:rPr>
            </w:pPr>
            <w:r>
              <w:rPr>
                <w:rFonts w:hint="eastAsia" w:ascii="Times New Roman" w:hAnsi="宋体" w:cs="宋体"/>
                <w:color w:val="000000"/>
                <w:kern w:val="0"/>
              </w:rPr>
              <w:t>按标准建设社会组织孵化基地，有</w:t>
            </w:r>
            <w:r>
              <w:rPr>
                <w:rFonts w:ascii="Times New Roman" w:hAnsi="Times New Roman" w:cs="Times New Roman"/>
                <w:color w:val="000000"/>
                <w:kern w:val="0"/>
              </w:rPr>
              <w:t>300</w:t>
            </w:r>
            <w:r>
              <w:rPr>
                <w:rFonts w:hint="eastAsia" w:ascii="Times New Roman" w:hAnsi="宋体" w:cs="宋体"/>
                <w:color w:val="000000"/>
                <w:kern w:val="0"/>
              </w:rPr>
              <w:t>平方米以上专用场地，安排社会组织孵化基地运营管理费用，</w:t>
            </w:r>
            <w:r>
              <w:rPr>
                <w:rFonts w:ascii="Times New Roman" w:hAnsi="Times New Roman" w:cs="Times New Roman"/>
                <w:color w:val="000000"/>
                <w:kern w:val="0"/>
              </w:rPr>
              <w:t>10</w:t>
            </w:r>
            <w:r>
              <w:rPr>
                <w:rFonts w:hint="eastAsia" w:ascii="Times New Roman" w:hAnsi="宋体" w:cs="宋体"/>
                <w:color w:val="000000"/>
                <w:kern w:val="0"/>
              </w:rPr>
              <w:t>家以上社会组织入驻、培育达标率</w:t>
            </w:r>
            <w:r>
              <w:rPr>
                <w:rFonts w:ascii="Times New Roman" w:hAnsi="Times New Roman" w:cs="Times New Roman"/>
                <w:color w:val="000000"/>
                <w:kern w:val="0"/>
              </w:rPr>
              <w:t>100%</w:t>
            </w:r>
            <w:r>
              <w:rPr>
                <w:rFonts w:hint="eastAsia" w:ascii="Times New Roman" w:hAnsi="宋体" w:cs="宋体"/>
                <w:color w:val="000000"/>
                <w:kern w:val="0"/>
              </w:rPr>
              <w:t>，培训本级社会组织</w:t>
            </w:r>
            <w:r>
              <w:rPr>
                <w:rFonts w:ascii="Times New Roman" w:hAnsi="Times New Roman" w:cs="Times New Roman"/>
                <w:color w:val="000000"/>
                <w:kern w:val="0"/>
              </w:rPr>
              <w:t>50%</w:t>
            </w:r>
            <w:r>
              <w:rPr>
                <w:rFonts w:hint="eastAsia" w:ascii="Times New Roman" w:hAnsi="宋体" w:cs="宋体"/>
                <w:color w:val="000000"/>
                <w:kern w:val="0"/>
              </w:rPr>
              <w:t>以上。</w:t>
            </w:r>
          </w:p>
        </w:tc>
        <w:tc>
          <w:tcPr>
            <w:tcW w:w="1246" w:type="dxa"/>
            <w:vAlign w:val="center"/>
          </w:tcPr>
          <w:p>
            <w:pPr>
              <w:widowControl/>
              <w:spacing w:line="320" w:lineRule="exact"/>
              <w:jc w:val="center"/>
              <w:rPr>
                <w:rFonts w:ascii="Times New Roman" w:hAnsi="Times New Roman" w:cs="Times New Roman"/>
                <w:color w:val="000000"/>
                <w:kern w:val="0"/>
              </w:rPr>
            </w:pPr>
            <w:r>
              <w:rPr>
                <w:rFonts w:ascii="Times New Roman" w:hAnsi="Times New Roman" w:cs="Times New Roman"/>
                <w:color w:val="000000"/>
                <w:kern w:val="0"/>
              </w:rPr>
              <w:t>4</w:t>
            </w:r>
            <w:r>
              <w:rPr>
                <w:rFonts w:hint="eastAsia" w:ascii="Times New Roman" w:hAnsi="宋体" w:cs="宋体"/>
                <w:color w:val="000000"/>
                <w:kern w:val="0"/>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5" w:hRule="atLeast"/>
        </w:trPr>
        <w:tc>
          <w:tcPr>
            <w:tcW w:w="497" w:type="dxa"/>
            <w:vMerge w:val="continue"/>
            <w:vAlign w:val="center"/>
          </w:tcPr>
          <w:p>
            <w:pPr>
              <w:widowControl/>
              <w:spacing w:line="320" w:lineRule="exact"/>
              <w:jc w:val="left"/>
              <w:rPr>
                <w:rFonts w:ascii="Times New Roman" w:hAnsi="Times New Roman" w:cs="Times New Roman"/>
                <w:color w:val="000000"/>
                <w:kern w:val="0"/>
              </w:rPr>
            </w:pPr>
          </w:p>
        </w:tc>
        <w:tc>
          <w:tcPr>
            <w:tcW w:w="554" w:type="dxa"/>
            <w:vMerge w:val="continue"/>
            <w:vAlign w:val="center"/>
          </w:tcPr>
          <w:p>
            <w:pPr>
              <w:widowControl/>
              <w:spacing w:line="320" w:lineRule="exact"/>
              <w:jc w:val="left"/>
              <w:rPr>
                <w:rFonts w:ascii="Times New Roman" w:hAnsi="Times New Roman" w:cs="Times New Roman"/>
                <w:color w:val="000000"/>
                <w:kern w:val="0"/>
              </w:rPr>
            </w:pPr>
          </w:p>
        </w:tc>
        <w:tc>
          <w:tcPr>
            <w:tcW w:w="443" w:type="dxa"/>
            <w:vAlign w:val="center"/>
          </w:tcPr>
          <w:p>
            <w:pPr>
              <w:widowControl/>
              <w:spacing w:line="320" w:lineRule="exact"/>
              <w:jc w:val="center"/>
              <w:rPr>
                <w:rFonts w:ascii="Times New Roman" w:hAnsi="Times New Roman" w:cs="Times New Roman"/>
                <w:color w:val="000000"/>
                <w:kern w:val="0"/>
              </w:rPr>
            </w:pPr>
            <w:r>
              <w:rPr>
                <w:rFonts w:ascii="Times New Roman" w:hAnsi="Times New Roman" w:cs="Times New Roman"/>
                <w:color w:val="000000"/>
                <w:kern w:val="0"/>
              </w:rPr>
              <w:t>19</w:t>
            </w:r>
          </w:p>
        </w:tc>
        <w:tc>
          <w:tcPr>
            <w:tcW w:w="6370" w:type="dxa"/>
            <w:vAlign w:val="center"/>
          </w:tcPr>
          <w:p>
            <w:pPr>
              <w:widowControl/>
              <w:spacing w:line="300" w:lineRule="exact"/>
              <w:jc w:val="left"/>
              <w:rPr>
                <w:rFonts w:ascii="Times New Roman" w:hAnsi="Times New Roman" w:cs="Times New Roman"/>
                <w:color w:val="000000"/>
                <w:kern w:val="0"/>
              </w:rPr>
            </w:pPr>
            <w:r>
              <w:rPr>
                <w:rFonts w:hint="eastAsia" w:ascii="Times New Roman" w:hAnsi="宋体" w:cs="宋体"/>
                <w:color w:val="000000"/>
                <w:kern w:val="0"/>
              </w:rPr>
              <w:t>城乡社区服务站建设面积达到国家标准。城乡社区便民服务站标识规范统一。</w:t>
            </w:r>
          </w:p>
        </w:tc>
        <w:tc>
          <w:tcPr>
            <w:tcW w:w="1246" w:type="dxa"/>
            <w:vAlign w:val="center"/>
          </w:tcPr>
          <w:p>
            <w:pPr>
              <w:widowControl/>
              <w:spacing w:line="320" w:lineRule="exact"/>
              <w:jc w:val="center"/>
              <w:rPr>
                <w:rFonts w:ascii="Times New Roman" w:hAnsi="Times New Roman" w:cs="Times New Roman"/>
                <w:color w:val="000000"/>
                <w:kern w:val="0"/>
              </w:rPr>
            </w:pPr>
            <w:r>
              <w:rPr>
                <w:rFonts w:ascii="Times New Roman" w:hAnsi="Times New Roman" w:cs="Times New Roman"/>
                <w:color w:val="000000"/>
                <w:kern w:val="0"/>
              </w:rPr>
              <w:t>3</w:t>
            </w:r>
            <w:r>
              <w:rPr>
                <w:rFonts w:hint="eastAsia" w:ascii="Times New Roman" w:hAnsi="宋体" w:cs="宋体"/>
                <w:color w:val="000000"/>
                <w:kern w:val="0"/>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5" w:hRule="atLeast"/>
        </w:trPr>
        <w:tc>
          <w:tcPr>
            <w:tcW w:w="497" w:type="dxa"/>
            <w:vMerge w:val="continue"/>
            <w:vAlign w:val="center"/>
          </w:tcPr>
          <w:p>
            <w:pPr>
              <w:widowControl/>
              <w:spacing w:line="320" w:lineRule="exact"/>
              <w:jc w:val="left"/>
              <w:rPr>
                <w:rFonts w:ascii="Times New Roman" w:hAnsi="Times New Roman" w:cs="Times New Roman"/>
                <w:color w:val="000000"/>
                <w:kern w:val="0"/>
              </w:rPr>
            </w:pPr>
          </w:p>
        </w:tc>
        <w:tc>
          <w:tcPr>
            <w:tcW w:w="554" w:type="dxa"/>
            <w:vMerge w:val="restart"/>
            <w:vAlign w:val="center"/>
          </w:tcPr>
          <w:p>
            <w:pPr>
              <w:widowControl/>
              <w:spacing w:line="320" w:lineRule="exact"/>
              <w:jc w:val="center"/>
              <w:rPr>
                <w:rFonts w:ascii="Times New Roman" w:hAnsi="Times New Roman" w:cs="Times New Roman"/>
                <w:color w:val="000000"/>
                <w:kern w:val="0"/>
              </w:rPr>
            </w:pPr>
            <w:r>
              <w:rPr>
                <w:rFonts w:hint="eastAsia" w:ascii="Times New Roman" w:hAnsi="宋体" w:cs="宋体"/>
                <w:color w:val="000000"/>
                <w:kern w:val="0"/>
              </w:rPr>
              <w:t>信息化</w:t>
            </w:r>
          </w:p>
        </w:tc>
        <w:tc>
          <w:tcPr>
            <w:tcW w:w="443" w:type="dxa"/>
            <w:vAlign w:val="center"/>
          </w:tcPr>
          <w:p>
            <w:pPr>
              <w:widowControl/>
              <w:spacing w:line="320" w:lineRule="exact"/>
              <w:jc w:val="center"/>
              <w:rPr>
                <w:rFonts w:ascii="Times New Roman" w:hAnsi="Times New Roman" w:cs="Times New Roman"/>
                <w:color w:val="000000"/>
                <w:kern w:val="0"/>
              </w:rPr>
            </w:pPr>
            <w:r>
              <w:rPr>
                <w:rFonts w:ascii="Times New Roman" w:hAnsi="Times New Roman" w:cs="Times New Roman"/>
                <w:color w:val="000000"/>
                <w:kern w:val="0"/>
              </w:rPr>
              <w:t>20</w:t>
            </w:r>
          </w:p>
        </w:tc>
        <w:tc>
          <w:tcPr>
            <w:tcW w:w="6370" w:type="dxa"/>
            <w:vAlign w:val="center"/>
          </w:tcPr>
          <w:p>
            <w:pPr>
              <w:widowControl/>
              <w:spacing w:line="300" w:lineRule="exact"/>
              <w:jc w:val="left"/>
              <w:rPr>
                <w:rFonts w:ascii="Times New Roman" w:hAnsi="Times New Roman" w:cs="Times New Roman"/>
                <w:color w:val="000000"/>
                <w:kern w:val="0"/>
              </w:rPr>
            </w:pPr>
            <w:r>
              <w:rPr>
                <w:rFonts w:hint="eastAsia" w:ascii="Times New Roman" w:hAnsi="宋体" w:cs="宋体"/>
                <w:color w:val="000000"/>
                <w:kern w:val="0"/>
              </w:rPr>
              <w:t>按照建设民政四级广域网的要求，以政务外网为载体向所有乡镇民政办（所）延伸；民政四级广域网延伸至婚登中心、殡仪馆、救助站、福利院等直属事业单位。</w:t>
            </w:r>
            <w:r>
              <w:rPr>
                <w:rFonts w:ascii="Times New Roman" w:hAnsi="Times New Roman" w:cs="Times New Roman"/>
                <w:color w:val="000000"/>
                <w:kern w:val="0"/>
              </w:rPr>
              <w:t xml:space="preserve"> </w:t>
            </w:r>
          </w:p>
        </w:tc>
        <w:tc>
          <w:tcPr>
            <w:tcW w:w="1246" w:type="dxa"/>
            <w:vAlign w:val="center"/>
          </w:tcPr>
          <w:p>
            <w:pPr>
              <w:widowControl/>
              <w:spacing w:line="320" w:lineRule="exact"/>
              <w:jc w:val="center"/>
              <w:rPr>
                <w:rFonts w:ascii="Times New Roman" w:hAnsi="Times New Roman" w:cs="Times New Roman"/>
                <w:color w:val="000000"/>
                <w:kern w:val="0"/>
              </w:rPr>
            </w:pPr>
            <w:r>
              <w:rPr>
                <w:rFonts w:ascii="Times New Roman" w:hAnsi="Times New Roman" w:cs="Times New Roman"/>
                <w:color w:val="000000"/>
                <w:kern w:val="0"/>
              </w:rPr>
              <w:t>4</w:t>
            </w:r>
            <w:r>
              <w:rPr>
                <w:rFonts w:hint="eastAsia" w:ascii="Times New Roman" w:hAnsi="宋体" w:cs="宋体"/>
                <w:color w:val="000000"/>
                <w:kern w:val="0"/>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45" w:hRule="atLeast"/>
        </w:trPr>
        <w:tc>
          <w:tcPr>
            <w:tcW w:w="497" w:type="dxa"/>
            <w:vMerge w:val="continue"/>
            <w:vAlign w:val="center"/>
          </w:tcPr>
          <w:p>
            <w:pPr>
              <w:widowControl/>
              <w:spacing w:line="320" w:lineRule="exact"/>
              <w:jc w:val="left"/>
              <w:rPr>
                <w:rFonts w:ascii="Times New Roman" w:hAnsi="Times New Roman" w:cs="Times New Roman"/>
                <w:color w:val="000000"/>
                <w:kern w:val="0"/>
              </w:rPr>
            </w:pPr>
          </w:p>
        </w:tc>
        <w:tc>
          <w:tcPr>
            <w:tcW w:w="554" w:type="dxa"/>
            <w:vMerge w:val="continue"/>
            <w:vAlign w:val="center"/>
          </w:tcPr>
          <w:p>
            <w:pPr>
              <w:widowControl/>
              <w:spacing w:line="320" w:lineRule="exact"/>
              <w:jc w:val="left"/>
              <w:rPr>
                <w:rFonts w:ascii="Times New Roman" w:hAnsi="Times New Roman" w:cs="Times New Roman"/>
                <w:color w:val="000000"/>
                <w:kern w:val="0"/>
              </w:rPr>
            </w:pPr>
          </w:p>
        </w:tc>
        <w:tc>
          <w:tcPr>
            <w:tcW w:w="443" w:type="dxa"/>
            <w:vAlign w:val="center"/>
          </w:tcPr>
          <w:p>
            <w:pPr>
              <w:widowControl/>
              <w:spacing w:line="320" w:lineRule="exact"/>
              <w:jc w:val="center"/>
              <w:rPr>
                <w:rFonts w:ascii="Times New Roman" w:hAnsi="Times New Roman" w:cs="Times New Roman"/>
                <w:color w:val="000000"/>
                <w:kern w:val="0"/>
              </w:rPr>
            </w:pPr>
            <w:r>
              <w:rPr>
                <w:rFonts w:ascii="Times New Roman" w:hAnsi="Times New Roman" w:cs="Times New Roman"/>
                <w:color w:val="000000"/>
                <w:kern w:val="0"/>
              </w:rPr>
              <w:t>21</w:t>
            </w:r>
          </w:p>
        </w:tc>
        <w:tc>
          <w:tcPr>
            <w:tcW w:w="6370" w:type="dxa"/>
            <w:vAlign w:val="center"/>
          </w:tcPr>
          <w:p>
            <w:pPr>
              <w:widowControl/>
              <w:spacing w:line="300" w:lineRule="exact"/>
              <w:jc w:val="left"/>
              <w:rPr>
                <w:rFonts w:ascii="Times New Roman" w:hAnsi="Times New Roman" w:cs="Times New Roman"/>
                <w:color w:val="000000"/>
                <w:kern w:val="0"/>
              </w:rPr>
            </w:pPr>
            <w:r>
              <w:rPr>
                <w:rFonts w:hint="eastAsia" w:ascii="Times New Roman" w:hAnsi="宋体" w:cs="宋体"/>
                <w:color w:val="000000"/>
                <w:kern w:val="0"/>
              </w:rPr>
              <w:t>应用居民家庭经济状况核对平台对新申请救助对象进行信息化核对的比例达到</w:t>
            </w:r>
            <w:r>
              <w:rPr>
                <w:rFonts w:ascii="Times New Roman" w:hAnsi="Times New Roman" w:cs="Times New Roman"/>
                <w:color w:val="000000"/>
                <w:kern w:val="0"/>
              </w:rPr>
              <w:t>100%</w:t>
            </w:r>
            <w:r>
              <w:rPr>
                <w:rFonts w:hint="eastAsia" w:ascii="Times New Roman" w:hAnsi="宋体" w:cs="宋体"/>
                <w:color w:val="000000"/>
                <w:kern w:val="0"/>
              </w:rPr>
              <w:t>；对已享受社会救助对象进行信息化复核的比例达到</w:t>
            </w:r>
            <w:r>
              <w:rPr>
                <w:rFonts w:ascii="Times New Roman" w:hAnsi="Times New Roman" w:cs="Times New Roman"/>
                <w:color w:val="000000"/>
                <w:kern w:val="0"/>
              </w:rPr>
              <w:t>100%</w:t>
            </w:r>
            <w:r>
              <w:rPr>
                <w:rFonts w:hint="eastAsia" w:ascii="Times New Roman" w:hAnsi="宋体" w:cs="宋体"/>
                <w:color w:val="000000"/>
                <w:kern w:val="0"/>
              </w:rPr>
              <w:t>。最低生活保障对象、特困人员、临时救助对象基本情况全部录入省社会救助信息管理系统并及时动态管理，确保数据及时、准确。</w:t>
            </w:r>
          </w:p>
        </w:tc>
        <w:tc>
          <w:tcPr>
            <w:tcW w:w="1246" w:type="dxa"/>
            <w:vAlign w:val="center"/>
          </w:tcPr>
          <w:p>
            <w:pPr>
              <w:widowControl/>
              <w:spacing w:line="320" w:lineRule="exact"/>
              <w:jc w:val="center"/>
              <w:rPr>
                <w:rFonts w:ascii="Times New Roman" w:hAnsi="Times New Roman" w:cs="Times New Roman"/>
                <w:color w:val="000000"/>
                <w:kern w:val="0"/>
              </w:rPr>
            </w:pPr>
            <w:r>
              <w:rPr>
                <w:rFonts w:ascii="Times New Roman" w:hAnsi="Times New Roman" w:cs="Times New Roman"/>
                <w:color w:val="000000"/>
                <w:kern w:val="0"/>
              </w:rPr>
              <w:t>4</w:t>
            </w:r>
            <w:r>
              <w:rPr>
                <w:rFonts w:hint="eastAsia" w:ascii="Times New Roman" w:hAnsi="宋体" w:cs="宋体"/>
                <w:color w:val="000000"/>
                <w:kern w:val="0"/>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5" w:hRule="atLeast"/>
        </w:trPr>
        <w:tc>
          <w:tcPr>
            <w:tcW w:w="497" w:type="dxa"/>
            <w:vMerge w:val="continue"/>
            <w:vAlign w:val="center"/>
          </w:tcPr>
          <w:p>
            <w:pPr>
              <w:widowControl/>
              <w:spacing w:line="320" w:lineRule="exact"/>
              <w:jc w:val="left"/>
              <w:rPr>
                <w:rFonts w:ascii="Times New Roman" w:hAnsi="Times New Roman" w:cs="Times New Roman"/>
                <w:color w:val="000000"/>
                <w:kern w:val="0"/>
              </w:rPr>
            </w:pPr>
          </w:p>
        </w:tc>
        <w:tc>
          <w:tcPr>
            <w:tcW w:w="554" w:type="dxa"/>
            <w:vMerge w:val="continue"/>
            <w:vAlign w:val="center"/>
          </w:tcPr>
          <w:p>
            <w:pPr>
              <w:widowControl/>
              <w:spacing w:line="320" w:lineRule="exact"/>
              <w:jc w:val="left"/>
              <w:rPr>
                <w:rFonts w:ascii="Times New Roman" w:hAnsi="Times New Roman" w:cs="Times New Roman"/>
                <w:color w:val="000000"/>
                <w:kern w:val="0"/>
              </w:rPr>
            </w:pPr>
          </w:p>
        </w:tc>
        <w:tc>
          <w:tcPr>
            <w:tcW w:w="443" w:type="dxa"/>
            <w:vAlign w:val="center"/>
          </w:tcPr>
          <w:p>
            <w:pPr>
              <w:widowControl/>
              <w:spacing w:line="320" w:lineRule="exact"/>
              <w:jc w:val="center"/>
              <w:rPr>
                <w:rFonts w:ascii="Times New Roman" w:hAnsi="Times New Roman" w:cs="Times New Roman"/>
                <w:color w:val="000000"/>
                <w:kern w:val="0"/>
              </w:rPr>
            </w:pPr>
            <w:r>
              <w:rPr>
                <w:rFonts w:ascii="Times New Roman" w:hAnsi="Times New Roman" w:cs="Times New Roman"/>
                <w:color w:val="000000"/>
                <w:kern w:val="0"/>
              </w:rPr>
              <w:t>22</w:t>
            </w:r>
          </w:p>
        </w:tc>
        <w:tc>
          <w:tcPr>
            <w:tcW w:w="6370" w:type="dxa"/>
            <w:vAlign w:val="center"/>
          </w:tcPr>
          <w:p>
            <w:pPr>
              <w:widowControl/>
              <w:spacing w:line="300" w:lineRule="exact"/>
              <w:jc w:val="left"/>
              <w:rPr>
                <w:rFonts w:ascii="Times New Roman" w:hAnsi="Times New Roman" w:cs="Times New Roman"/>
                <w:color w:val="000000"/>
                <w:kern w:val="0"/>
              </w:rPr>
            </w:pPr>
            <w:r>
              <w:rPr>
                <w:rFonts w:hint="eastAsia" w:ascii="Times New Roman" w:hAnsi="宋体" w:cs="宋体"/>
                <w:color w:val="000000"/>
                <w:kern w:val="0"/>
              </w:rPr>
              <w:t>建设并运营</w:t>
            </w:r>
            <w:r>
              <w:rPr>
                <w:rFonts w:ascii="Times New Roman" w:hAnsi="Times New Roman" w:cs="Times New Roman"/>
                <w:color w:val="000000"/>
                <w:kern w:val="0"/>
              </w:rPr>
              <w:t>1</w:t>
            </w:r>
            <w:r>
              <w:rPr>
                <w:rFonts w:hint="eastAsia" w:ascii="Times New Roman" w:hAnsi="宋体" w:cs="宋体"/>
                <w:color w:val="000000"/>
                <w:kern w:val="0"/>
              </w:rPr>
              <w:t>个以上养老服务信息平台，实现供需信息有效对接，为老年人提供迅速便捷服务。</w:t>
            </w:r>
          </w:p>
        </w:tc>
        <w:tc>
          <w:tcPr>
            <w:tcW w:w="1246" w:type="dxa"/>
            <w:vAlign w:val="center"/>
          </w:tcPr>
          <w:p>
            <w:pPr>
              <w:widowControl/>
              <w:spacing w:line="320" w:lineRule="exact"/>
              <w:jc w:val="center"/>
              <w:rPr>
                <w:rFonts w:ascii="Times New Roman" w:hAnsi="Times New Roman" w:cs="Times New Roman"/>
                <w:color w:val="000000"/>
                <w:kern w:val="0"/>
              </w:rPr>
            </w:pPr>
            <w:r>
              <w:rPr>
                <w:rFonts w:ascii="Times New Roman" w:hAnsi="Times New Roman" w:cs="Times New Roman"/>
                <w:color w:val="000000"/>
                <w:kern w:val="0"/>
              </w:rPr>
              <w:t>2</w:t>
            </w:r>
            <w:r>
              <w:rPr>
                <w:rFonts w:hint="eastAsia" w:ascii="Times New Roman" w:hAnsi="宋体" w:cs="宋体"/>
                <w:color w:val="000000"/>
                <w:kern w:val="0"/>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0" w:hRule="atLeast"/>
        </w:trPr>
        <w:tc>
          <w:tcPr>
            <w:tcW w:w="497" w:type="dxa"/>
            <w:vMerge w:val="continue"/>
            <w:vAlign w:val="center"/>
          </w:tcPr>
          <w:p>
            <w:pPr>
              <w:widowControl/>
              <w:spacing w:line="320" w:lineRule="exact"/>
              <w:jc w:val="left"/>
              <w:rPr>
                <w:rFonts w:ascii="Times New Roman" w:hAnsi="Times New Roman" w:cs="Times New Roman"/>
                <w:color w:val="000000"/>
                <w:kern w:val="0"/>
              </w:rPr>
            </w:pPr>
          </w:p>
        </w:tc>
        <w:tc>
          <w:tcPr>
            <w:tcW w:w="554" w:type="dxa"/>
            <w:vMerge w:val="continue"/>
            <w:vAlign w:val="center"/>
          </w:tcPr>
          <w:p>
            <w:pPr>
              <w:widowControl/>
              <w:spacing w:line="320" w:lineRule="exact"/>
              <w:jc w:val="left"/>
              <w:rPr>
                <w:rFonts w:ascii="Times New Roman" w:hAnsi="Times New Roman" w:cs="Times New Roman"/>
                <w:color w:val="000000"/>
                <w:kern w:val="0"/>
              </w:rPr>
            </w:pPr>
          </w:p>
        </w:tc>
        <w:tc>
          <w:tcPr>
            <w:tcW w:w="443" w:type="dxa"/>
            <w:vAlign w:val="center"/>
          </w:tcPr>
          <w:p>
            <w:pPr>
              <w:widowControl/>
              <w:spacing w:line="320" w:lineRule="exact"/>
              <w:jc w:val="center"/>
              <w:rPr>
                <w:rFonts w:ascii="Times New Roman" w:hAnsi="Times New Roman" w:cs="Times New Roman"/>
                <w:color w:val="000000"/>
                <w:kern w:val="0"/>
              </w:rPr>
            </w:pPr>
            <w:r>
              <w:rPr>
                <w:rFonts w:ascii="Times New Roman" w:hAnsi="Times New Roman" w:cs="Times New Roman"/>
                <w:color w:val="000000"/>
                <w:kern w:val="0"/>
              </w:rPr>
              <w:t>23</w:t>
            </w:r>
          </w:p>
        </w:tc>
        <w:tc>
          <w:tcPr>
            <w:tcW w:w="6370" w:type="dxa"/>
            <w:vAlign w:val="center"/>
          </w:tcPr>
          <w:p>
            <w:pPr>
              <w:widowControl/>
              <w:spacing w:line="300" w:lineRule="exact"/>
              <w:jc w:val="left"/>
              <w:rPr>
                <w:rFonts w:ascii="Times New Roman" w:hAnsi="Times New Roman" w:cs="Times New Roman"/>
                <w:color w:val="000000"/>
                <w:kern w:val="0"/>
              </w:rPr>
            </w:pPr>
            <w:r>
              <w:rPr>
                <w:rFonts w:hint="eastAsia" w:ascii="Times New Roman" w:hAnsi="宋体" w:cs="宋体"/>
                <w:color w:val="000000"/>
                <w:kern w:val="0"/>
              </w:rPr>
              <w:t>完成地名图录典志编撰出版，开展地名地址云平台的推广使用和数据更新。</w:t>
            </w:r>
          </w:p>
        </w:tc>
        <w:tc>
          <w:tcPr>
            <w:tcW w:w="1246" w:type="dxa"/>
            <w:vAlign w:val="center"/>
          </w:tcPr>
          <w:p>
            <w:pPr>
              <w:widowControl/>
              <w:spacing w:line="320" w:lineRule="exact"/>
              <w:jc w:val="center"/>
              <w:rPr>
                <w:rFonts w:ascii="Times New Roman" w:hAnsi="Times New Roman" w:cs="Times New Roman"/>
                <w:color w:val="000000"/>
                <w:kern w:val="0"/>
              </w:rPr>
            </w:pPr>
            <w:r>
              <w:rPr>
                <w:rFonts w:ascii="Times New Roman" w:hAnsi="Times New Roman" w:cs="Times New Roman"/>
                <w:color w:val="000000"/>
                <w:kern w:val="0"/>
              </w:rPr>
              <w:t>2</w:t>
            </w:r>
            <w:r>
              <w:rPr>
                <w:rFonts w:hint="eastAsia" w:ascii="Times New Roman" w:hAnsi="宋体" w:cs="宋体"/>
                <w:color w:val="000000"/>
                <w:kern w:val="0"/>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30" w:hRule="atLeast"/>
        </w:trPr>
        <w:tc>
          <w:tcPr>
            <w:tcW w:w="497" w:type="dxa"/>
            <w:vMerge w:val="continue"/>
            <w:vAlign w:val="center"/>
          </w:tcPr>
          <w:p>
            <w:pPr>
              <w:widowControl/>
              <w:spacing w:line="320" w:lineRule="exact"/>
              <w:jc w:val="left"/>
              <w:rPr>
                <w:rFonts w:ascii="Times New Roman" w:hAnsi="Times New Roman" w:cs="Times New Roman"/>
                <w:color w:val="000000"/>
                <w:kern w:val="0"/>
              </w:rPr>
            </w:pPr>
          </w:p>
        </w:tc>
        <w:tc>
          <w:tcPr>
            <w:tcW w:w="554" w:type="dxa"/>
            <w:vMerge w:val="restart"/>
            <w:vAlign w:val="center"/>
          </w:tcPr>
          <w:p>
            <w:pPr>
              <w:widowControl/>
              <w:spacing w:line="320" w:lineRule="exact"/>
              <w:jc w:val="center"/>
              <w:rPr>
                <w:rFonts w:ascii="Times New Roman" w:hAnsi="Times New Roman" w:cs="Times New Roman"/>
                <w:color w:val="000000"/>
                <w:kern w:val="0"/>
              </w:rPr>
            </w:pPr>
            <w:r>
              <w:rPr>
                <w:rFonts w:hint="eastAsia" w:ascii="Times New Roman" w:hAnsi="宋体" w:cs="宋体"/>
                <w:color w:val="000000"/>
                <w:kern w:val="0"/>
              </w:rPr>
              <w:t>社会化</w:t>
            </w:r>
          </w:p>
        </w:tc>
        <w:tc>
          <w:tcPr>
            <w:tcW w:w="443" w:type="dxa"/>
            <w:vAlign w:val="center"/>
          </w:tcPr>
          <w:p>
            <w:pPr>
              <w:widowControl/>
              <w:spacing w:line="320" w:lineRule="exact"/>
              <w:jc w:val="center"/>
              <w:rPr>
                <w:rFonts w:ascii="Times New Roman" w:hAnsi="Times New Roman" w:cs="Times New Roman"/>
                <w:color w:val="000000"/>
                <w:kern w:val="0"/>
              </w:rPr>
            </w:pPr>
            <w:r>
              <w:rPr>
                <w:rFonts w:ascii="Times New Roman" w:hAnsi="Times New Roman" w:cs="Times New Roman"/>
                <w:color w:val="000000"/>
                <w:kern w:val="0"/>
              </w:rPr>
              <w:t>24</w:t>
            </w:r>
          </w:p>
        </w:tc>
        <w:tc>
          <w:tcPr>
            <w:tcW w:w="6370" w:type="dxa"/>
            <w:vAlign w:val="center"/>
          </w:tcPr>
          <w:p>
            <w:pPr>
              <w:widowControl/>
              <w:spacing w:line="300" w:lineRule="exact"/>
              <w:jc w:val="left"/>
              <w:rPr>
                <w:rFonts w:ascii="Times New Roman" w:hAnsi="Times New Roman" w:cs="Times New Roman"/>
                <w:color w:val="000000"/>
                <w:kern w:val="0"/>
              </w:rPr>
            </w:pPr>
            <w:r>
              <w:rPr>
                <w:rFonts w:hint="eastAsia" w:ascii="Times New Roman" w:hAnsi="宋体" w:cs="宋体"/>
                <w:color w:val="000000"/>
                <w:kern w:val="0"/>
              </w:rPr>
              <w:t>辖区内</w:t>
            </w:r>
            <w:r>
              <w:rPr>
                <w:rFonts w:ascii="Times New Roman" w:hAnsi="Times New Roman" w:cs="Times New Roman"/>
                <w:color w:val="000000"/>
                <w:kern w:val="0"/>
              </w:rPr>
              <w:t>100%</w:t>
            </w:r>
            <w:r>
              <w:rPr>
                <w:rFonts w:hint="eastAsia" w:ascii="Times New Roman" w:hAnsi="宋体" w:cs="宋体"/>
                <w:color w:val="000000"/>
                <w:kern w:val="0"/>
              </w:rPr>
              <w:t>的乡镇</w:t>
            </w:r>
            <w:r>
              <w:rPr>
                <w:rFonts w:hint="eastAsia" w:ascii="Times New Roman" w:hAnsi="Times New Roman" w:cs="宋体"/>
                <w:color w:val="000000"/>
                <w:kern w:val="0"/>
              </w:rPr>
              <w:t>（</w:t>
            </w:r>
            <w:r>
              <w:rPr>
                <w:rFonts w:hint="eastAsia" w:ascii="Times New Roman" w:hAnsi="宋体" w:cs="宋体"/>
                <w:color w:val="000000"/>
                <w:kern w:val="0"/>
              </w:rPr>
              <w:t>街道</w:t>
            </w:r>
            <w:r>
              <w:rPr>
                <w:rFonts w:hint="eastAsia" w:ascii="Times New Roman" w:hAnsi="Times New Roman" w:cs="宋体"/>
                <w:color w:val="000000"/>
                <w:kern w:val="0"/>
              </w:rPr>
              <w:t>）</w:t>
            </w:r>
            <w:r>
              <w:rPr>
                <w:rFonts w:hint="eastAsia" w:ascii="Times New Roman" w:hAnsi="宋体" w:cs="宋体"/>
                <w:color w:val="000000"/>
                <w:kern w:val="0"/>
              </w:rPr>
              <w:t>建成社会工作服务站；</w:t>
            </w:r>
            <w:r>
              <w:rPr>
                <w:rFonts w:ascii="Times New Roman" w:hAnsi="Times New Roman" w:cs="Times New Roman"/>
                <w:color w:val="000000"/>
                <w:kern w:val="0"/>
              </w:rPr>
              <w:t>100%</w:t>
            </w:r>
            <w:r>
              <w:rPr>
                <w:rFonts w:hint="eastAsia" w:ascii="Times New Roman" w:hAnsi="宋体" w:cs="宋体"/>
                <w:color w:val="000000"/>
                <w:kern w:val="0"/>
              </w:rPr>
              <w:t>的村（居）委会设置民生协理员；</w:t>
            </w:r>
            <w:r>
              <w:rPr>
                <w:rFonts w:ascii="Times New Roman" w:hAnsi="Times New Roman" w:cs="Times New Roman"/>
                <w:color w:val="000000"/>
                <w:kern w:val="0"/>
              </w:rPr>
              <w:t>30%</w:t>
            </w:r>
            <w:r>
              <w:rPr>
                <w:rFonts w:hint="eastAsia" w:ascii="Times New Roman" w:hAnsi="宋体" w:cs="宋体"/>
                <w:color w:val="000000"/>
                <w:kern w:val="0"/>
              </w:rPr>
              <w:t>以上的城乡社区设立社会工作服务室；社会工作专业人才数量达到辖区人口总数的</w:t>
            </w:r>
            <w:r>
              <w:rPr>
                <w:rFonts w:ascii="Times New Roman" w:hAnsi="Times New Roman" w:cs="Times New Roman"/>
                <w:color w:val="000000"/>
                <w:kern w:val="0"/>
              </w:rPr>
              <w:t>1‰</w:t>
            </w:r>
            <w:r>
              <w:rPr>
                <w:rFonts w:hint="eastAsia" w:ascii="Times New Roman" w:hAnsi="宋体" w:cs="宋体"/>
                <w:color w:val="000000"/>
                <w:kern w:val="0"/>
              </w:rPr>
              <w:t>；注册志愿者数量达到辖区人口总数的</w:t>
            </w:r>
            <w:r>
              <w:rPr>
                <w:rFonts w:ascii="Times New Roman" w:hAnsi="Times New Roman" w:cs="Times New Roman"/>
                <w:color w:val="000000"/>
                <w:kern w:val="0"/>
              </w:rPr>
              <w:t>13%</w:t>
            </w:r>
            <w:r>
              <w:rPr>
                <w:rFonts w:hint="eastAsia" w:ascii="Times New Roman" w:hAnsi="宋体" w:cs="宋体"/>
                <w:color w:val="000000"/>
                <w:kern w:val="0"/>
              </w:rPr>
              <w:t>。</w:t>
            </w:r>
          </w:p>
        </w:tc>
        <w:tc>
          <w:tcPr>
            <w:tcW w:w="1246" w:type="dxa"/>
            <w:vAlign w:val="center"/>
          </w:tcPr>
          <w:p>
            <w:pPr>
              <w:widowControl/>
              <w:spacing w:line="320" w:lineRule="exact"/>
              <w:jc w:val="center"/>
              <w:rPr>
                <w:rFonts w:ascii="Times New Roman" w:hAnsi="Times New Roman" w:cs="Times New Roman"/>
                <w:color w:val="000000"/>
                <w:kern w:val="0"/>
              </w:rPr>
            </w:pPr>
            <w:r>
              <w:rPr>
                <w:rFonts w:ascii="Times New Roman" w:hAnsi="Times New Roman" w:cs="Times New Roman"/>
                <w:color w:val="000000"/>
                <w:kern w:val="0"/>
              </w:rPr>
              <w:t>5</w:t>
            </w:r>
            <w:r>
              <w:rPr>
                <w:rFonts w:hint="eastAsia" w:ascii="Times New Roman" w:hAnsi="宋体" w:cs="宋体"/>
                <w:color w:val="000000"/>
                <w:kern w:val="0"/>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5" w:hRule="atLeast"/>
        </w:trPr>
        <w:tc>
          <w:tcPr>
            <w:tcW w:w="497" w:type="dxa"/>
            <w:vMerge w:val="continue"/>
            <w:vAlign w:val="center"/>
          </w:tcPr>
          <w:p>
            <w:pPr>
              <w:widowControl/>
              <w:spacing w:line="320" w:lineRule="exact"/>
              <w:jc w:val="left"/>
              <w:rPr>
                <w:rFonts w:ascii="Times New Roman" w:hAnsi="Times New Roman" w:cs="Times New Roman"/>
                <w:color w:val="000000"/>
                <w:kern w:val="0"/>
              </w:rPr>
            </w:pPr>
          </w:p>
        </w:tc>
        <w:tc>
          <w:tcPr>
            <w:tcW w:w="554" w:type="dxa"/>
            <w:vMerge w:val="continue"/>
            <w:vAlign w:val="center"/>
          </w:tcPr>
          <w:p>
            <w:pPr>
              <w:widowControl/>
              <w:spacing w:line="320" w:lineRule="exact"/>
              <w:jc w:val="left"/>
              <w:rPr>
                <w:rFonts w:ascii="Times New Roman" w:hAnsi="Times New Roman" w:cs="Times New Roman"/>
                <w:color w:val="000000"/>
                <w:kern w:val="0"/>
              </w:rPr>
            </w:pPr>
          </w:p>
        </w:tc>
        <w:tc>
          <w:tcPr>
            <w:tcW w:w="443" w:type="dxa"/>
            <w:vAlign w:val="center"/>
          </w:tcPr>
          <w:p>
            <w:pPr>
              <w:widowControl/>
              <w:spacing w:line="320" w:lineRule="exact"/>
              <w:jc w:val="center"/>
              <w:rPr>
                <w:rFonts w:ascii="Times New Roman" w:hAnsi="Times New Roman" w:cs="Times New Roman"/>
                <w:color w:val="000000"/>
                <w:kern w:val="0"/>
              </w:rPr>
            </w:pPr>
            <w:r>
              <w:rPr>
                <w:rFonts w:ascii="Times New Roman" w:hAnsi="Times New Roman" w:cs="Times New Roman"/>
                <w:color w:val="000000"/>
                <w:kern w:val="0"/>
              </w:rPr>
              <w:t>25</w:t>
            </w:r>
          </w:p>
        </w:tc>
        <w:tc>
          <w:tcPr>
            <w:tcW w:w="6370" w:type="dxa"/>
            <w:vAlign w:val="center"/>
          </w:tcPr>
          <w:p>
            <w:pPr>
              <w:widowControl/>
              <w:spacing w:line="300" w:lineRule="exact"/>
              <w:jc w:val="left"/>
              <w:rPr>
                <w:rFonts w:ascii="Times New Roman" w:hAnsi="Times New Roman" w:cs="Times New Roman"/>
                <w:color w:val="000000"/>
                <w:kern w:val="0"/>
              </w:rPr>
            </w:pPr>
            <w:r>
              <w:rPr>
                <w:rFonts w:hint="eastAsia" w:ascii="Times New Roman" w:hAnsi="宋体" w:cs="宋体"/>
                <w:color w:val="000000"/>
                <w:kern w:val="0"/>
              </w:rPr>
              <w:t>福彩人均销量和人机比例高于全省平均水平，无擅自利用互联网售彩。</w:t>
            </w:r>
          </w:p>
        </w:tc>
        <w:tc>
          <w:tcPr>
            <w:tcW w:w="1246" w:type="dxa"/>
            <w:vAlign w:val="center"/>
          </w:tcPr>
          <w:p>
            <w:pPr>
              <w:widowControl/>
              <w:spacing w:line="320" w:lineRule="exact"/>
              <w:jc w:val="center"/>
              <w:rPr>
                <w:rFonts w:ascii="Times New Roman" w:hAnsi="Times New Roman" w:cs="Times New Roman"/>
                <w:color w:val="000000"/>
                <w:kern w:val="0"/>
              </w:rPr>
            </w:pPr>
            <w:r>
              <w:rPr>
                <w:rFonts w:ascii="Times New Roman" w:hAnsi="Times New Roman" w:cs="Times New Roman"/>
                <w:color w:val="000000"/>
                <w:kern w:val="0"/>
              </w:rPr>
              <w:t>3</w:t>
            </w:r>
            <w:r>
              <w:rPr>
                <w:rFonts w:hint="eastAsia" w:ascii="Times New Roman" w:hAnsi="宋体" w:cs="宋体"/>
                <w:color w:val="000000"/>
                <w:kern w:val="0"/>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45" w:hRule="atLeast"/>
        </w:trPr>
        <w:tc>
          <w:tcPr>
            <w:tcW w:w="497" w:type="dxa"/>
            <w:vMerge w:val="continue"/>
            <w:vAlign w:val="center"/>
          </w:tcPr>
          <w:p>
            <w:pPr>
              <w:widowControl/>
              <w:spacing w:line="320" w:lineRule="exact"/>
              <w:jc w:val="left"/>
              <w:rPr>
                <w:rFonts w:ascii="Times New Roman" w:hAnsi="Times New Roman" w:cs="Times New Roman"/>
                <w:color w:val="000000"/>
                <w:kern w:val="0"/>
              </w:rPr>
            </w:pPr>
          </w:p>
        </w:tc>
        <w:tc>
          <w:tcPr>
            <w:tcW w:w="554" w:type="dxa"/>
            <w:vMerge w:val="continue"/>
            <w:vAlign w:val="center"/>
          </w:tcPr>
          <w:p>
            <w:pPr>
              <w:widowControl/>
              <w:spacing w:line="320" w:lineRule="exact"/>
              <w:jc w:val="left"/>
              <w:rPr>
                <w:rFonts w:ascii="Times New Roman" w:hAnsi="Times New Roman" w:cs="Times New Roman"/>
                <w:color w:val="000000"/>
                <w:kern w:val="0"/>
              </w:rPr>
            </w:pPr>
          </w:p>
        </w:tc>
        <w:tc>
          <w:tcPr>
            <w:tcW w:w="443" w:type="dxa"/>
            <w:vAlign w:val="center"/>
          </w:tcPr>
          <w:p>
            <w:pPr>
              <w:widowControl/>
              <w:spacing w:line="320" w:lineRule="exact"/>
              <w:jc w:val="center"/>
              <w:rPr>
                <w:rFonts w:ascii="Times New Roman" w:hAnsi="Times New Roman" w:cs="Times New Roman"/>
                <w:color w:val="000000"/>
                <w:kern w:val="0"/>
              </w:rPr>
            </w:pPr>
            <w:r>
              <w:rPr>
                <w:rFonts w:ascii="Times New Roman" w:hAnsi="Times New Roman" w:cs="Times New Roman"/>
                <w:color w:val="000000"/>
                <w:kern w:val="0"/>
              </w:rPr>
              <w:t>26</w:t>
            </w:r>
          </w:p>
        </w:tc>
        <w:tc>
          <w:tcPr>
            <w:tcW w:w="6370" w:type="dxa"/>
            <w:vAlign w:val="center"/>
          </w:tcPr>
          <w:p>
            <w:pPr>
              <w:widowControl/>
              <w:spacing w:line="300" w:lineRule="exact"/>
              <w:jc w:val="left"/>
              <w:rPr>
                <w:rFonts w:ascii="Times New Roman" w:hAnsi="Times New Roman" w:cs="Times New Roman"/>
                <w:color w:val="000000"/>
                <w:kern w:val="0"/>
              </w:rPr>
            </w:pPr>
            <w:r>
              <w:rPr>
                <w:rFonts w:hint="eastAsia" w:ascii="Times New Roman" w:hAnsi="宋体" w:cs="宋体"/>
                <w:color w:val="000000"/>
                <w:kern w:val="0"/>
              </w:rPr>
              <w:t>社会力量运营的养老床位数占当地养老床位总数的比例超过</w:t>
            </w:r>
            <w:r>
              <w:rPr>
                <w:rFonts w:ascii="Times New Roman" w:hAnsi="Times New Roman" w:cs="Times New Roman"/>
                <w:color w:val="000000"/>
                <w:kern w:val="0"/>
              </w:rPr>
              <w:t>50%</w:t>
            </w:r>
            <w:r>
              <w:rPr>
                <w:rFonts w:hint="eastAsia" w:ascii="Times New Roman" w:hAnsi="宋体" w:cs="宋体"/>
                <w:color w:val="000000"/>
                <w:kern w:val="0"/>
              </w:rPr>
              <w:t>；建立民办养老机构建设补贴、运营补贴制度。</w:t>
            </w:r>
          </w:p>
        </w:tc>
        <w:tc>
          <w:tcPr>
            <w:tcW w:w="1246" w:type="dxa"/>
            <w:vAlign w:val="center"/>
          </w:tcPr>
          <w:p>
            <w:pPr>
              <w:widowControl/>
              <w:spacing w:line="280" w:lineRule="exact"/>
              <w:jc w:val="center"/>
              <w:rPr>
                <w:rFonts w:ascii="Times New Roman" w:hAnsi="Times New Roman" w:cs="Times New Roman"/>
                <w:color w:val="000000"/>
                <w:kern w:val="0"/>
              </w:rPr>
            </w:pPr>
            <w:r>
              <w:rPr>
                <w:rFonts w:ascii="Times New Roman" w:hAnsi="Times New Roman" w:cs="Times New Roman"/>
                <w:color w:val="000000"/>
                <w:kern w:val="0"/>
              </w:rPr>
              <w:t>2</w:t>
            </w:r>
            <w:r>
              <w:rPr>
                <w:rFonts w:hint="eastAsia" w:ascii="Times New Roman" w:hAnsi="宋体" w:cs="宋体"/>
                <w:color w:val="000000"/>
                <w:kern w:val="0"/>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5" w:hRule="atLeast"/>
        </w:trPr>
        <w:tc>
          <w:tcPr>
            <w:tcW w:w="497" w:type="dxa"/>
            <w:vMerge w:val="restart"/>
            <w:vAlign w:val="center"/>
          </w:tcPr>
          <w:p>
            <w:pPr>
              <w:widowControl/>
              <w:spacing w:line="320" w:lineRule="exact"/>
              <w:jc w:val="left"/>
              <w:rPr>
                <w:rFonts w:ascii="Times New Roman" w:hAnsi="Times New Roman" w:cs="Times New Roman"/>
                <w:color w:val="000000"/>
                <w:kern w:val="0"/>
              </w:rPr>
            </w:pPr>
            <w:r>
              <w:rPr>
                <w:rFonts w:hint="eastAsia" w:ascii="Times New Roman" w:hAnsi="Times New Roman" w:cs="宋体"/>
                <w:color w:val="000000"/>
                <w:kern w:val="0"/>
              </w:rPr>
              <w:t>综合性指标</w:t>
            </w:r>
          </w:p>
        </w:tc>
        <w:tc>
          <w:tcPr>
            <w:tcW w:w="554" w:type="dxa"/>
            <w:vMerge w:val="restart"/>
            <w:vAlign w:val="center"/>
          </w:tcPr>
          <w:p>
            <w:pPr>
              <w:widowControl/>
              <w:spacing w:line="320" w:lineRule="exact"/>
              <w:jc w:val="center"/>
              <w:rPr>
                <w:rFonts w:ascii="Times New Roman" w:hAnsi="Times New Roman" w:cs="Times New Roman"/>
                <w:color w:val="000000"/>
                <w:kern w:val="0"/>
              </w:rPr>
            </w:pPr>
            <w:r>
              <w:rPr>
                <w:rFonts w:hint="eastAsia" w:ascii="Times New Roman" w:hAnsi="Times New Roman" w:cs="宋体"/>
                <w:color w:val="000000"/>
                <w:kern w:val="0"/>
              </w:rPr>
              <w:t>社会化</w:t>
            </w:r>
          </w:p>
        </w:tc>
        <w:tc>
          <w:tcPr>
            <w:tcW w:w="443" w:type="dxa"/>
            <w:vAlign w:val="center"/>
          </w:tcPr>
          <w:p>
            <w:pPr>
              <w:widowControl/>
              <w:spacing w:line="320" w:lineRule="exact"/>
              <w:jc w:val="center"/>
              <w:rPr>
                <w:rFonts w:ascii="Times New Roman" w:hAnsi="Times New Roman" w:cs="Times New Roman"/>
                <w:color w:val="000000"/>
                <w:kern w:val="0"/>
              </w:rPr>
            </w:pPr>
            <w:r>
              <w:rPr>
                <w:rFonts w:ascii="Times New Roman" w:hAnsi="Times New Roman" w:cs="Times New Roman"/>
                <w:color w:val="000000"/>
                <w:kern w:val="0"/>
              </w:rPr>
              <w:t>27</w:t>
            </w:r>
          </w:p>
        </w:tc>
        <w:tc>
          <w:tcPr>
            <w:tcW w:w="6370" w:type="dxa"/>
            <w:vAlign w:val="center"/>
          </w:tcPr>
          <w:p>
            <w:pPr>
              <w:widowControl/>
              <w:spacing w:line="280" w:lineRule="exact"/>
              <w:jc w:val="left"/>
              <w:rPr>
                <w:rFonts w:ascii="Times New Roman" w:hAnsi="Times New Roman" w:cs="Times New Roman"/>
                <w:color w:val="000000"/>
                <w:kern w:val="0"/>
              </w:rPr>
            </w:pPr>
            <w:r>
              <w:rPr>
                <w:rFonts w:hint="eastAsia" w:ascii="Times New Roman" w:hAnsi="宋体" w:cs="宋体"/>
                <w:color w:val="000000"/>
                <w:kern w:val="0"/>
              </w:rPr>
              <w:t>建设社区（村）慈善超市</w:t>
            </w:r>
            <w:r>
              <w:rPr>
                <w:rFonts w:ascii="Times New Roman" w:hAnsi="Times New Roman" w:cs="Times New Roman"/>
                <w:color w:val="000000"/>
                <w:kern w:val="0"/>
              </w:rPr>
              <w:t>3</w:t>
            </w:r>
            <w:r>
              <w:rPr>
                <w:rFonts w:hint="eastAsia" w:ascii="Times New Roman" w:hAnsi="宋体" w:cs="宋体"/>
                <w:color w:val="000000"/>
                <w:kern w:val="0"/>
              </w:rPr>
              <w:t>家以上，并保证正常运行。开展</w:t>
            </w:r>
            <w:r>
              <w:rPr>
                <w:rFonts w:ascii="Times New Roman" w:hAnsi="Times New Roman" w:cs="Times New Roman"/>
                <w:color w:val="000000"/>
                <w:kern w:val="0"/>
              </w:rPr>
              <w:t>“</w:t>
            </w:r>
            <w:r>
              <w:rPr>
                <w:rFonts w:hint="eastAsia" w:ascii="Times New Roman" w:hAnsi="宋体" w:cs="宋体"/>
                <w:color w:val="000000"/>
                <w:kern w:val="0"/>
              </w:rPr>
              <w:t>中华慈善日</w:t>
            </w:r>
            <w:r>
              <w:rPr>
                <w:rFonts w:ascii="Times New Roman" w:hAnsi="Times New Roman" w:cs="Times New Roman"/>
                <w:color w:val="000000"/>
                <w:kern w:val="0"/>
              </w:rPr>
              <w:t>”</w:t>
            </w:r>
            <w:r>
              <w:rPr>
                <w:rFonts w:hint="eastAsia" w:ascii="Times New Roman" w:hAnsi="宋体" w:cs="宋体"/>
                <w:color w:val="000000"/>
                <w:kern w:val="0"/>
              </w:rPr>
              <w:t>等慈善文化宣传活动。</w:t>
            </w:r>
          </w:p>
        </w:tc>
        <w:tc>
          <w:tcPr>
            <w:tcW w:w="1246" w:type="dxa"/>
            <w:vAlign w:val="center"/>
          </w:tcPr>
          <w:p>
            <w:pPr>
              <w:widowControl/>
              <w:spacing w:line="280" w:lineRule="exact"/>
              <w:jc w:val="center"/>
              <w:rPr>
                <w:rFonts w:ascii="Times New Roman" w:hAnsi="Times New Roman" w:cs="Times New Roman"/>
                <w:color w:val="000000"/>
                <w:kern w:val="0"/>
              </w:rPr>
            </w:pPr>
            <w:r>
              <w:rPr>
                <w:rFonts w:ascii="Times New Roman" w:hAnsi="Times New Roman" w:cs="Times New Roman"/>
                <w:color w:val="000000"/>
                <w:kern w:val="0"/>
              </w:rPr>
              <w:t>2</w:t>
            </w:r>
            <w:r>
              <w:rPr>
                <w:rFonts w:hint="eastAsia" w:ascii="Times New Roman" w:hAnsi="宋体" w:cs="宋体"/>
                <w:color w:val="000000"/>
                <w:kern w:val="0"/>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0" w:hRule="atLeast"/>
        </w:trPr>
        <w:tc>
          <w:tcPr>
            <w:tcW w:w="497" w:type="dxa"/>
            <w:vMerge w:val="continue"/>
            <w:vAlign w:val="center"/>
          </w:tcPr>
          <w:p>
            <w:pPr>
              <w:widowControl/>
              <w:spacing w:line="320" w:lineRule="exact"/>
              <w:jc w:val="left"/>
              <w:rPr>
                <w:rFonts w:ascii="Times New Roman" w:hAnsi="Times New Roman" w:cs="Times New Roman"/>
                <w:color w:val="000000"/>
                <w:kern w:val="0"/>
              </w:rPr>
            </w:pPr>
          </w:p>
        </w:tc>
        <w:tc>
          <w:tcPr>
            <w:tcW w:w="554" w:type="dxa"/>
            <w:vMerge w:val="continue"/>
            <w:vAlign w:val="center"/>
          </w:tcPr>
          <w:p>
            <w:pPr>
              <w:widowControl/>
              <w:spacing w:line="320" w:lineRule="exact"/>
              <w:jc w:val="left"/>
              <w:rPr>
                <w:rFonts w:ascii="Times New Roman" w:hAnsi="Times New Roman" w:cs="Times New Roman"/>
                <w:color w:val="000000"/>
                <w:kern w:val="0"/>
              </w:rPr>
            </w:pPr>
          </w:p>
        </w:tc>
        <w:tc>
          <w:tcPr>
            <w:tcW w:w="443" w:type="dxa"/>
            <w:vAlign w:val="center"/>
          </w:tcPr>
          <w:p>
            <w:pPr>
              <w:widowControl/>
              <w:spacing w:line="320" w:lineRule="exact"/>
              <w:jc w:val="center"/>
              <w:rPr>
                <w:rFonts w:ascii="Times New Roman" w:hAnsi="Times New Roman" w:cs="Times New Roman"/>
                <w:color w:val="000000"/>
                <w:kern w:val="0"/>
              </w:rPr>
            </w:pPr>
            <w:r>
              <w:rPr>
                <w:rFonts w:ascii="Times New Roman" w:hAnsi="Times New Roman" w:cs="Times New Roman"/>
                <w:color w:val="000000"/>
                <w:kern w:val="0"/>
              </w:rPr>
              <w:t>28</w:t>
            </w:r>
          </w:p>
        </w:tc>
        <w:tc>
          <w:tcPr>
            <w:tcW w:w="6370" w:type="dxa"/>
            <w:vAlign w:val="center"/>
          </w:tcPr>
          <w:p>
            <w:pPr>
              <w:widowControl/>
              <w:spacing w:line="280" w:lineRule="exact"/>
              <w:jc w:val="left"/>
              <w:rPr>
                <w:rFonts w:ascii="Times New Roman" w:hAnsi="Times New Roman" w:cs="Times New Roman"/>
                <w:color w:val="000000"/>
                <w:kern w:val="0"/>
              </w:rPr>
            </w:pPr>
            <w:r>
              <w:rPr>
                <w:rFonts w:hint="eastAsia" w:ascii="Times New Roman" w:hAnsi="宋体" w:cs="宋体"/>
                <w:color w:val="000000"/>
                <w:kern w:val="0"/>
              </w:rPr>
              <w:t>在社会救助、社会福利、养老服务、残疾人服务、社区建设、社会组织管理、社工服务、慈善救济等领域开展政府购买服务。</w:t>
            </w:r>
          </w:p>
        </w:tc>
        <w:tc>
          <w:tcPr>
            <w:tcW w:w="1246" w:type="dxa"/>
            <w:vAlign w:val="center"/>
          </w:tcPr>
          <w:p>
            <w:pPr>
              <w:widowControl/>
              <w:spacing w:line="280" w:lineRule="exact"/>
              <w:jc w:val="center"/>
              <w:rPr>
                <w:rFonts w:ascii="Times New Roman" w:hAnsi="Times New Roman" w:cs="Times New Roman"/>
                <w:color w:val="000000"/>
                <w:kern w:val="0"/>
              </w:rPr>
            </w:pPr>
            <w:r>
              <w:rPr>
                <w:rFonts w:ascii="Times New Roman" w:hAnsi="Times New Roman" w:cs="Times New Roman"/>
                <w:color w:val="000000"/>
                <w:kern w:val="0"/>
              </w:rPr>
              <w:t>2</w:t>
            </w:r>
            <w:r>
              <w:rPr>
                <w:rFonts w:hint="eastAsia" w:ascii="Times New Roman" w:hAnsi="宋体" w:cs="宋体"/>
                <w:color w:val="000000"/>
                <w:kern w:val="0"/>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15" w:hRule="atLeast"/>
        </w:trPr>
        <w:tc>
          <w:tcPr>
            <w:tcW w:w="497" w:type="dxa"/>
            <w:vMerge w:val="continue"/>
            <w:vAlign w:val="center"/>
          </w:tcPr>
          <w:p>
            <w:pPr>
              <w:widowControl/>
              <w:spacing w:line="320" w:lineRule="exact"/>
              <w:jc w:val="left"/>
              <w:rPr>
                <w:rFonts w:ascii="Times New Roman" w:hAnsi="Times New Roman" w:cs="Times New Roman"/>
                <w:color w:val="000000"/>
                <w:kern w:val="0"/>
              </w:rPr>
            </w:pPr>
          </w:p>
        </w:tc>
        <w:tc>
          <w:tcPr>
            <w:tcW w:w="554" w:type="dxa"/>
            <w:vMerge w:val="restart"/>
            <w:vAlign w:val="center"/>
          </w:tcPr>
          <w:p>
            <w:pPr>
              <w:widowControl/>
              <w:spacing w:line="320" w:lineRule="exact"/>
              <w:jc w:val="center"/>
              <w:rPr>
                <w:rFonts w:ascii="Times New Roman" w:hAnsi="Times New Roman" w:cs="Times New Roman"/>
                <w:color w:val="000000"/>
                <w:kern w:val="0"/>
              </w:rPr>
            </w:pPr>
            <w:r>
              <w:rPr>
                <w:rFonts w:hint="eastAsia" w:ascii="Times New Roman" w:hAnsi="宋体" w:cs="宋体"/>
                <w:color w:val="000000"/>
                <w:kern w:val="0"/>
              </w:rPr>
              <w:t>特殊指标</w:t>
            </w:r>
          </w:p>
        </w:tc>
        <w:tc>
          <w:tcPr>
            <w:tcW w:w="443" w:type="dxa"/>
            <w:vAlign w:val="center"/>
          </w:tcPr>
          <w:p>
            <w:pPr>
              <w:widowControl/>
              <w:spacing w:line="320" w:lineRule="exact"/>
              <w:jc w:val="center"/>
              <w:rPr>
                <w:rFonts w:ascii="Times New Roman" w:hAnsi="Times New Roman" w:cs="Times New Roman"/>
                <w:color w:val="000000"/>
                <w:kern w:val="0"/>
              </w:rPr>
            </w:pPr>
            <w:r>
              <w:rPr>
                <w:rFonts w:ascii="Times New Roman" w:hAnsi="Times New Roman" w:cs="Times New Roman"/>
                <w:color w:val="000000"/>
                <w:kern w:val="0"/>
              </w:rPr>
              <w:t>29</w:t>
            </w:r>
          </w:p>
        </w:tc>
        <w:tc>
          <w:tcPr>
            <w:tcW w:w="6370" w:type="dxa"/>
            <w:vAlign w:val="center"/>
          </w:tcPr>
          <w:p>
            <w:pPr>
              <w:widowControl/>
              <w:spacing w:line="280" w:lineRule="exact"/>
              <w:jc w:val="left"/>
              <w:rPr>
                <w:rFonts w:ascii="Times New Roman" w:hAnsi="Times New Roman" w:cs="Times New Roman"/>
                <w:color w:val="000000"/>
                <w:kern w:val="0"/>
              </w:rPr>
            </w:pPr>
            <w:r>
              <w:rPr>
                <w:rFonts w:hint="eastAsia" w:ascii="Times New Roman" w:hAnsi="宋体" w:cs="宋体"/>
                <w:color w:val="000000"/>
                <w:kern w:val="0"/>
              </w:rPr>
              <w:t>成效显著，综合或单项工作获得国家、省部领导肯定批示；在国家、省部会议上作经验介绍。</w:t>
            </w:r>
          </w:p>
        </w:tc>
        <w:tc>
          <w:tcPr>
            <w:tcW w:w="1246" w:type="dxa"/>
            <w:vAlign w:val="center"/>
          </w:tcPr>
          <w:p>
            <w:pPr>
              <w:widowControl/>
              <w:spacing w:line="280" w:lineRule="exact"/>
              <w:jc w:val="left"/>
              <w:rPr>
                <w:rFonts w:ascii="Times New Roman" w:hAnsi="Times New Roman" w:cs="Times New Roman"/>
                <w:color w:val="000000"/>
                <w:spacing w:val="-5"/>
                <w:w w:val="96"/>
                <w:kern w:val="0"/>
              </w:rPr>
            </w:pPr>
            <w:r>
              <w:rPr>
                <w:rFonts w:hint="eastAsia" w:ascii="Times New Roman" w:hAnsi="宋体" w:cs="宋体"/>
                <w:color w:val="000000"/>
                <w:spacing w:val="-5"/>
                <w:w w:val="96"/>
                <w:kern w:val="0"/>
              </w:rPr>
              <w:t>在</w:t>
            </w:r>
            <w:r>
              <w:rPr>
                <w:rFonts w:ascii="Times New Roman" w:hAnsi="Times New Roman" w:cs="Times New Roman"/>
                <w:color w:val="000000"/>
                <w:spacing w:val="-5"/>
                <w:w w:val="96"/>
                <w:kern w:val="0"/>
              </w:rPr>
              <w:t>100</w:t>
            </w:r>
            <w:r>
              <w:rPr>
                <w:rFonts w:hint="eastAsia" w:ascii="Times New Roman" w:hAnsi="宋体" w:cs="宋体"/>
                <w:color w:val="000000"/>
                <w:spacing w:val="-5"/>
                <w:w w:val="96"/>
                <w:kern w:val="0"/>
              </w:rPr>
              <w:t>分外，国家级加</w:t>
            </w:r>
            <w:r>
              <w:rPr>
                <w:rFonts w:ascii="Times New Roman" w:hAnsi="Times New Roman" w:cs="Times New Roman"/>
                <w:color w:val="000000"/>
                <w:spacing w:val="-5"/>
                <w:w w:val="96"/>
                <w:kern w:val="0"/>
              </w:rPr>
              <w:t>10</w:t>
            </w:r>
            <w:r>
              <w:rPr>
                <w:rFonts w:hint="eastAsia" w:ascii="Times New Roman" w:hAnsi="宋体" w:cs="宋体"/>
                <w:color w:val="000000"/>
                <w:spacing w:val="-5"/>
                <w:w w:val="96"/>
                <w:kern w:val="0"/>
              </w:rPr>
              <w:t>分，省部级加</w:t>
            </w:r>
            <w:r>
              <w:rPr>
                <w:rFonts w:ascii="Times New Roman" w:hAnsi="Times New Roman" w:cs="Times New Roman"/>
                <w:color w:val="000000"/>
                <w:spacing w:val="-5"/>
                <w:w w:val="96"/>
                <w:kern w:val="0"/>
              </w:rPr>
              <w:t>5</w:t>
            </w:r>
            <w:r>
              <w:rPr>
                <w:rFonts w:hint="eastAsia" w:ascii="Times New Roman" w:hAnsi="宋体" w:cs="宋体"/>
                <w:color w:val="000000"/>
                <w:spacing w:val="-5"/>
                <w:w w:val="96"/>
                <w:kern w:val="0"/>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0" w:hRule="atLeast"/>
        </w:trPr>
        <w:tc>
          <w:tcPr>
            <w:tcW w:w="497" w:type="dxa"/>
            <w:vMerge w:val="continue"/>
            <w:vAlign w:val="center"/>
          </w:tcPr>
          <w:p>
            <w:pPr>
              <w:widowControl/>
              <w:spacing w:line="320" w:lineRule="exact"/>
              <w:jc w:val="left"/>
              <w:rPr>
                <w:rFonts w:ascii="Times New Roman" w:hAnsi="Times New Roman" w:cs="Times New Roman"/>
                <w:color w:val="000000"/>
                <w:kern w:val="0"/>
              </w:rPr>
            </w:pPr>
          </w:p>
        </w:tc>
        <w:tc>
          <w:tcPr>
            <w:tcW w:w="554" w:type="dxa"/>
            <w:vMerge w:val="continue"/>
            <w:vAlign w:val="center"/>
          </w:tcPr>
          <w:p>
            <w:pPr>
              <w:widowControl/>
              <w:spacing w:line="320" w:lineRule="exact"/>
              <w:jc w:val="left"/>
              <w:rPr>
                <w:rFonts w:ascii="Times New Roman" w:hAnsi="Times New Roman" w:cs="Times New Roman"/>
                <w:color w:val="000000"/>
                <w:kern w:val="0"/>
              </w:rPr>
            </w:pPr>
          </w:p>
        </w:tc>
        <w:tc>
          <w:tcPr>
            <w:tcW w:w="443" w:type="dxa"/>
            <w:vAlign w:val="center"/>
          </w:tcPr>
          <w:p>
            <w:pPr>
              <w:widowControl/>
              <w:spacing w:line="320" w:lineRule="exact"/>
              <w:jc w:val="center"/>
              <w:rPr>
                <w:rFonts w:ascii="Times New Roman" w:hAnsi="Times New Roman" w:cs="Times New Roman"/>
                <w:color w:val="000000"/>
                <w:kern w:val="0"/>
              </w:rPr>
            </w:pPr>
            <w:r>
              <w:rPr>
                <w:rFonts w:ascii="Times New Roman" w:hAnsi="Times New Roman" w:cs="Times New Roman"/>
                <w:color w:val="000000"/>
                <w:kern w:val="0"/>
              </w:rPr>
              <w:t>30</w:t>
            </w:r>
          </w:p>
        </w:tc>
        <w:tc>
          <w:tcPr>
            <w:tcW w:w="6370" w:type="dxa"/>
            <w:vAlign w:val="center"/>
          </w:tcPr>
          <w:p>
            <w:pPr>
              <w:widowControl/>
              <w:spacing w:line="280" w:lineRule="exact"/>
              <w:jc w:val="left"/>
              <w:rPr>
                <w:rFonts w:ascii="Times New Roman" w:hAnsi="Times New Roman" w:cs="Times New Roman"/>
                <w:color w:val="000000"/>
                <w:kern w:val="0"/>
              </w:rPr>
            </w:pPr>
            <w:r>
              <w:rPr>
                <w:rFonts w:hint="eastAsia" w:ascii="Times New Roman" w:hAnsi="宋体" w:cs="宋体"/>
                <w:color w:val="000000"/>
                <w:kern w:val="0"/>
              </w:rPr>
              <w:t>出现安全生产、信访维稳、重大舆情和廉政建设等重大问题的。</w:t>
            </w:r>
          </w:p>
        </w:tc>
        <w:tc>
          <w:tcPr>
            <w:tcW w:w="1246" w:type="dxa"/>
            <w:vAlign w:val="center"/>
          </w:tcPr>
          <w:p>
            <w:pPr>
              <w:widowControl/>
              <w:spacing w:line="280" w:lineRule="exact"/>
              <w:jc w:val="left"/>
              <w:rPr>
                <w:rFonts w:ascii="Times New Roman" w:hAnsi="Times New Roman" w:cs="Times New Roman"/>
                <w:color w:val="000000"/>
                <w:spacing w:val="-5"/>
                <w:w w:val="96"/>
                <w:kern w:val="0"/>
              </w:rPr>
            </w:pPr>
            <w:r>
              <w:rPr>
                <w:rFonts w:hint="eastAsia" w:ascii="Times New Roman" w:hAnsi="宋体" w:cs="宋体"/>
                <w:color w:val="000000"/>
                <w:spacing w:val="-5"/>
                <w:w w:val="96"/>
                <w:kern w:val="0"/>
              </w:rPr>
              <w:t>每项扣</w:t>
            </w:r>
            <w:r>
              <w:rPr>
                <w:rFonts w:ascii="Times New Roman" w:hAnsi="Times New Roman" w:cs="Times New Roman"/>
                <w:color w:val="000000"/>
                <w:spacing w:val="-5"/>
                <w:w w:val="96"/>
                <w:kern w:val="0"/>
              </w:rPr>
              <w:t>30</w:t>
            </w:r>
            <w:r>
              <w:rPr>
                <w:rFonts w:hint="eastAsia" w:ascii="Times New Roman" w:hAnsi="宋体" w:cs="宋体"/>
                <w:color w:val="000000"/>
                <w:spacing w:val="-5"/>
                <w:w w:val="96"/>
                <w:kern w:val="0"/>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36" w:hRule="atLeast"/>
        </w:trPr>
        <w:tc>
          <w:tcPr>
            <w:tcW w:w="1051" w:type="dxa"/>
            <w:gridSpan w:val="2"/>
            <w:vAlign w:val="center"/>
          </w:tcPr>
          <w:p>
            <w:pPr>
              <w:widowControl/>
              <w:spacing w:line="320" w:lineRule="exact"/>
              <w:jc w:val="center"/>
              <w:rPr>
                <w:rFonts w:ascii="Times New Roman" w:hAnsi="Times New Roman" w:cs="Times New Roman"/>
                <w:color w:val="000000"/>
                <w:kern w:val="0"/>
              </w:rPr>
            </w:pPr>
            <w:r>
              <w:rPr>
                <w:rFonts w:hint="eastAsia" w:ascii="Times New Roman" w:hAnsi="宋体" w:cs="宋体"/>
                <w:color w:val="000000"/>
                <w:kern w:val="0"/>
              </w:rPr>
              <w:t>创新</w:t>
            </w:r>
          </w:p>
          <w:p>
            <w:pPr>
              <w:widowControl/>
              <w:spacing w:line="320" w:lineRule="exact"/>
              <w:jc w:val="center"/>
              <w:rPr>
                <w:rFonts w:ascii="Times New Roman" w:hAnsi="Times New Roman" w:cs="Times New Roman"/>
                <w:color w:val="000000"/>
                <w:kern w:val="0"/>
              </w:rPr>
            </w:pPr>
            <w:r>
              <w:rPr>
                <w:rFonts w:hint="eastAsia" w:ascii="Times New Roman" w:hAnsi="宋体" w:cs="宋体"/>
                <w:color w:val="000000"/>
                <w:kern w:val="0"/>
              </w:rPr>
              <w:t>实验</w:t>
            </w:r>
          </w:p>
        </w:tc>
        <w:tc>
          <w:tcPr>
            <w:tcW w:w="443" w:type="dxa"/>
            <w:vAlign w:val="center"/>
          </w:tcPr>
          <w:p>
            <w:pPr>
              <w:widowControl/>
              <w:spacing w:line="320" w:lineRule="exact"/>
              <w:jc w:val="center"/>
              <w:rPr>
                <w:rFonts w:ascii="Times New Roman" w:hAnsi="Times New Roman" w:cs="Times New Roman"/>
                <w:color w:val="000000"/>
                <w:kern w:val="0"/>
              </w:rPr>
            </w:pPr>
            <w:r>
              <w:rPr>
                <w:rFonts w:ascii="Times New Roman" w:hAnsi="Times New Roman" w:cs="Times New Roman"/>
                <w:color w:val="000000"/>
                <w:kern w:val="0"/>
              </w:rPr>
              <w:t>31</w:t>
            </w:r>
          </w:p>
        </w:tc>
        <w:tc>
          <w:tcPr>
            <w:tcW w:w="6370" w:type="dxa"/>
            <w:vAlign w:val="center"/>
          </w:tcPr>
          <w:p>
            <w:pPr>
              <w:widowControl/>
              <w:spacing w:line="280" w:lineRule="exact"/>
              <w:jc w:val="left"/>
              <w:rPr>
                <w:rFonts w:ascii="Times New Roman" w:hAnsi="Times New Roman" w:cs="Times New Roman"/>
                <w:color w:val="000000"/>
                <w:kern w:val="0"/>
              </w:rPr>
            </w:pPr>
            <w:r>
              <w:rPr>
                <w:rFonts w:ascii="Times New Roman" w:hAnsi="Times New Roman" w:cs="Times New Roman"/>
                <w:color w:val="000000"/>
                <w:kern w:val="0"/>
              </w:rPr>
              <w:t>1</w:t>
            </w:r>
            <w:r>
              <w:rPr>
                <w:rFonts w:hint="eastAsia" w:ascii="Times New Roman" w:hAnsi="宋体" w:cs="宋体"/>
                <w:color w:val="000000"/>
                <w:kern w:val="0"/>
              </w:rPr>
              <w:t>、探索建立地名普查成果长效转化机制，并初步发挥作用。</w:t>
            </w:r>
            <w:r>
              <w:rPr>
                <w:rFonts w:ascii="Times New Roman" w:hAnsi="Times New Roman" w:cs="Times New Roman"/>
                <w:color w:val="000000"/>
                <w:kern w:val="0"/>
              </w:rPr>
              <w:br w:type="textWrapping"/>
            </w:r>
            <w:r>
              <w:rPr>
                <w:rFonts w:ascii="Times New Roman" w:hAnsi="Times New Roman" w:cs="Times New Roman"/>
                <w:color w:val="000000"/>
                <w:kern w:val="0"/>
              </w:rPr>
              <w:t>2</w:t>
            </w:r>
            <w:r>
              <w:rPr>
                <w:rFonts w:hint="eastAsia" w:ascii="Times New Roman" w:hAnsi="宋体" w:cs="宋体"/>
                <w:color w:val="000000"/>
                <w:kern w:val="0"/>
              </w:rPr>
              <w:t>、探索建立互联网</w:t>
            </w:r>
            <w:r>
              <w:rPr>
                <w:rFonts w:ascii="Times New Roman" w:hAnsi="Times New Roman" w:cs="Times New Roman"/>
                <w:color w:val="000000"/>
                <w:kern w:val="0"/>
              </w:rPr>
              <w:t>+</w:t>
            </w:r>
            <w:r>
              <w:rPr>
                <w:rFonts w:hint="eastAsia" w:ascii="Times New Roman" w:hAnsi="宋体" w:cs="宋体"/>
                <w:color w:val="000000"/>
                <w:kern w:val="0"/>
              </w:rPr>
              <w:t>民政政务服务模式，并初步发挥作用。</w:t>
            </w:r>
            <w:r>
              <w:rPr>
                <w:rFonts w:ascii="Times New Roman" w:hAnsi="Times New Roman" w:cs="Times New Roman"/>
                <w:color w:val="000000"/>
                <w:kern w:val="0"/>
              </w:rPr>
              <w:br w:type="textWrapping"/>
            </w:r>
            <w:r>
              <w:rPr>
                <w:rFonts w:ascii="Times New Roman" w:hAnsi="Times New Roman" w:cs="Times New Roman"/>
                <w:color w:val="000000"/>
                <w:kern w:val="0"/>
              </w:rPr>
              <w:t>3</w:t>
            </w:r>
            <w:r>
              <w:rPr>
                <w:rFonts w:hint="eastAsia" w:ascii="Times New Roman" w:hAnsi="宋体" w:cs="宋体"/>
                <w:color w:val="000000"/>
                <w:kern w:val="0"/>
              </w:rPr>
              <w:t>、以区域性养老服务中心或乡镇敬老院为支撑，以农村互助幸福院等为网点，建设具有本地特色的农村养老服务体系。</w:t>
            </w:r>
            <w:r>
              <w:rPr>
                <w:rFonts w:ascii="Times New Roman" w:hAnsi="Times New Roman" w:cs="Times New Roman"/>
                <w:color w:val="000000"/>
                <w:kern w:val="0"/>
              </w:rPr>
              <w:br w:type="textWrapping"/>
            </w:r>
            <w:r>
              <w:rPr>
                <w:rFonts w:ascii="Times New Roman" w:hAnsi="Times New Roman" w:cs="Times New Roman"/>
                <w:color w:val="000000"/>
                <w:kern w:val="0"/>
              </w:rPr>
              <w:t>4</w:t>
            </w:r>
            <w:r>
              <w:rPr>
                <w:rFonts w:hint="eastAsia" w:ascii="Times New Roman" w:hAnsi="宋体" w:cs="宋体"/>
                <w:color w:val="000000"/>
                <w:kern w:val="0"/>
              </w:rPr>
              <w:t>、以留守老年人信息为基础，以落实关爱服务要求为目标，建立县级农村留守老年人关爱服务信息平台。</w:t>
            </w:r>
            <w:r>
              <w:rPr>
                <w:rFonts w:ascii="Times New Roman" w:hAnsi="Times New Roman" w:cs="Times New Roman"/>
                <w:color w:val="000000"/>
                <w:kern w:val="0"/>
              </w:rPr>
              <w:br w:type="textWrapping"/>
            </w:r>
            <w:r>
              <w:rPr>
                <w:rFonts w:ascii="Times New Roman" w:hAnsi="Times New Roman" w:cs="Times New Roman"/>
                <w:color w:val="000000"/>
                <w:kern w:val="0"/>
              </w:rPr>
              <w:t>5</w:t>
            </w:r>
            <w:r>
              <w:rPr>
                <w:rFonts w:hint="eastAsia" w:ascii="Times New Roman" w:hAnsi="宋体" w:cs="宋体"/>
                <w:color w:val="000000"/>
                <w:kern w:val="0"/>
              </w:rPr>
              <w:t>、建立手机</w:t>
            </w:r>
            <w:r>
              <w:rPr>
                <w:rFonts w:ascii="Times New Roman" w:hAnsi="Times New Roman" w:cs="Times New Roman"/>
                <w:color w:val="000000"/>
                <w:kern w:val="0"/>
              </w:rPr>
              <w:t>APP</w:t>
            </w:r>
            <w:r>
              <w:rPr>
                <w:rFonts w:hint="eastAsia" w:ascii="Times New Roman" w:hAnsi="宋体" w:cs="宋体"/>
                <w:color w:val="000000"/>
                <w:kern w:val="0"/>
              </w:rPr>
              <w:t>采集儿童数据信息平台，为基层采集儿童数据提供便利，提高数据采集准确率。</w:t>
            </w:r>
            <w:r>
              <w:rPr>
                <w:rFonts w:ascii="Times New Roman" w:hAnsi="Times New Roman" w:cs="Times New Roman"/>
                <w:color w:val="000000"/>
                <w:kern w:val="0"/>
              </w:rPr>
              <w:br w:type="textWrapping"/>
            </w:r>
            <w:r>
              <w:rPr>
                <w:rFonts w:ascii="Times New Roman" w:hAnsi="Times New Roman" w:cs="Times New Roman"/>
                <w:color w:val="000000"/>
                <w:kern w:val="0"/>
              </w:rPr>
              <w:t>6</w:t>
            </w:r>
            <w:r>
              <w:rPr>
                <w:rFonts w:hint="eastAsia" w:ascii="Times New Roman" w:hAnsi="宋体" w:cs="宋体"/>
                <w:color w:val="000000"/>
                <w:kern w:val="0"/>
              </w:rPr>
              <w:t>、聚焦深度贫困县和深度贫困村，探索</w:t>
            </w:r>
            <w:r>
              <w:rPr>
                <w:rFonts w:ascii="Times New Roman" w:hAnsi="Times New Roman" w:cs="Times New Roman"/>
                <w:color w:val="000000"/>
                <w:kern w:val="0"/>
              </w:rPr>
              <w:t>“1</w:t>
            </w:r>
            <w:r>
              <w:rPr>
                <w:rFonts w:hint="eastAsia" w:ascii="Times New Roman" w:hAnsi="宋体" w:cs="宋体"/>
                <w:color w:val="000000"/>
                <w:kern w:val="0"/>
              </w:rPr>
              <w:t>支驻村扶贫工作队</w:t>
            </w:r>
            <w:r>
              <w:rPr>
                <w:rFonts w:ascii="Times New Roman" w:hAnsi="Times New Roman" w:cs="Times New Roman"/>
                <w:color w:val="000000"/>
                <w:kern w:val="0"/>
              </w:rPr>
              <w:t>+1</w:t>
            </w:r>
            <w:r>
              <w:rPr>
                <w:rFonts w:hint="eastAsia" w:ascii="Times New Roman" w:hAnsi="宋体" w:cs="宋体"/>
                <w:color w:val="000000"/>
                <w:kern w:val="0"/>
              </w:rPr>
              <w:t>家社工机构</w:t>
            </w:r>
            <w:r>
              <w:rPr>
                <w:rFonts w:ascii="Times New Roman" w:hAnsi="Times New Roman" w:cs="Times New Roman"/>
                <w:color w:val="000000"/>
                <w:kern w:val="0"/>
              </w:rPr>
              <w:t>+1</w:t>
            </w:r>
            <w:r>
              <w:rPr>
                <w:rFonts w:hint="eastAsia" w:ascii="Times New Roman" w:hAnsi="宋体" w:cs="宋体"/>
                <w:color w:val="000000"/>
                <w:kern w:val="0"/>
              </w:rPr>
              <w:t>个志愿服务团队</w:t>
            </w:r>
            <w:r>
              <w:rPr>
                <w:rFonts w:ascii="Times New Roman" w:hAnsi="Times New Roman" w:cs="Times New Roman"/>
                <w:color w:val="000000"/>
                <w:kern w:val="0"/>
              </w:rPr>
              <w:t>”</w:t>
            </w:r>
            <w:r>
              <w:rPr>
                <w:rFonts w:hint="eastAsia" w:ascii="Times New Roman" w:hAnsi="宋体" w:cs="宋体"/>
                <w:color w:val="000000"/>
                <w:kern w:val="0"/>
              </w:rPr>
              <w:t>的</w:t>
            </w:r>
            <w:r>
              <w:rPr>
                <w:rFonts w:ascii="Times New Roman" w:hAnsi="Times New Roman" w:cs="Times New Roman"/>
                <w:color w:val="000000"/>
                <w:kern w:val="0"/>
              </w:rPr>
              <w:t>“1+1+1”</w:t>
            </w:r>
            <w:r>
              <w:rPr>
                <w:rFonts w:hint="eastAsia" w:ascii="Times New Roman" w:hAnsi="宋体" w:cs="宋体"/>
                <w:color w:val="000000"/>
                <w:kern w:val="0"/>
              </w:rPr>
              <w:t>模式，实现政府力量与社会力量的有效整合，建立社会工作和志愿服务参与脱贫攻坚机制。</w:t>
            </w:r>
            <w:r>
              <w:rPr>
                <w:rFonts w:ascii="Times New Roman" w:hAnsi="Times New Roman" w:cs="Times New Roman"/>
                <w:color w:val="000000"/>
                <w:kern w:val="0"/>
              </w:rPr>
              <w:br w:type="textWrapping"/>
            </w:r>
            <w:r>
              <w:rPr>
                <w:rFonts w:ascii="Times New Roman" w:hAnsi="Times New Roman" w:cs="Times New Roman"/>
                <w:color w:val="000000"/>
                <w:kern w:val="0"/>
              </w:rPr>
              <w:t>7</w:t>
            </w:r>
            <w:r>
              <w:rPr>
                <w:rFonts w:hint="eastAsia" w:ascii="Times New Roman" w:hAnsi="宋体" w:cs="宋体"/>
                <w:color w:val="000000"/>
                <w:kern w:val="0"/>
              </w:rPr>
              <w:t>、培育</w:t>
            </w:r>
            <w:r>
              <w:rPr>
                <w:rFonts w:ascii="Times New Roman" w:hAnsi="Times New Roman" w:cs="Times New Roman"/>
                <w:color w:val="000000"/>
                <w:kern w:val="0"/>
              </w:rPr>
              <w:t>“</w:t>
            </w:r>
            <w:r>
              <w:rPr>
                <w:rFonts w:hint="eastAsia" w:ascii="Times New Roman" w:hAnsi="宋体" w:cs="宋体"/>
                <w:color w:val="000000"/>
                <w:kern w:val="0"/>
              </w:rPr>
              <w:t>三社</w:t>
            </w:r>
            <w:r>
              <w:rPr>
                <w:rFonts w:ascii="Times New Roman" w:hAnsi="Times New Roman" w:cs="Times New Roman"/>
                <w:color w:val="000000"/>
                <w:kern w:val="0"/>
              </w:rPr>
              <w:t>”</w:t>
            </w:r>
            <w:r>
              <w:rPr>
                <w:rFonts w:hint="eastAsia" w:ascii="Times New Roman" w:hAnsi="宋体" w:cs="宋体"/>
                <w:color w:val="000000"/>
                <w:kern w:val="0"/>
              </w:rPr>
              <w:t>力量，打造联动平台，建立社会工作及志愿服务参与基层社会治理机制。</w:t>
            </w:r>
            <w:r>
              <w:rPr>
                <w:rFonts w:ascii="Times New Roman" w:hAnsi="Times New Roman" w:cs="Times New Roman"/>
                <w:color w:val="000000"/>
                <w:kern w:val="0"/>
              </w:rPr>
              <w:br w:type="textWrapping"/>
            </w:r>
            <w:r>
              <w:rPr>
                <w:rFonts w:ascii="Times New Roman" w:hAnsi="Times New Roman" w:cs="Times New Roman"/>
                <w:color w:val="000000"/>
                <w:kern w:val="0"/>
              </w:rPr>
              <w:t>8</w:t>
            </w:r>
            <w:r>
              <w:rPr>
                <w:rFonts w:hint="eastAsia" w:ascii="Times New Roman" w:hAnsi="宋体" w:cs="宋体"/>
                <w:color w:val="000000"/>
                <w:kern w:val="0"/>
              </w:rPr>
              <w:t>、</w:t>
            </w:r>
            <w:r>
              <w:rPr>
                <w:rFonts w:hint="eastAsia" w:ascii="Times New Roman" w:hAnsi="宋体" w:cs="宋体"/>
                <w:color w:val="000000"/>
                <w:spacing w:val="-5"/>
                <w:kern w:val="0"/>
              </w:rPr>
              <w:t>构建</w:t>
            </w:r>
            <w:r>
              <w:rPr>
                <w:rFonts w:ascii="Times New Roman" w:hAnsi="Times New Roman" w:cs="Times New Roman"/>
                <w:color w:val="000000"/>
                <w:spacing w:val="-5"/>
                <w:kern w:val="0"/>
              </w:rPr>
              <w:t>“</w:t>
            </w:r>
            <w:r>
              <w:rPr>
                <w:rFonts w:hint="eastAsia" w:ascii="Times New Roman" w:hAnsi="宋体" w:cs="宋体"/>
                <w:color w:val="000000"/>
                <w:spacing w:val="-5"/>
                <w:kern w:val="0"/>
              </w:rPr>
              <w:t>村（社区）民政协理员</w:t>
            </w:r>
            <w:r>
              <w:rPr>
                <w:rFonts w:ascii="Times New Roman" w:hAnsi="Times New Roman" w:cs="Times New Roman"/>
                <w:color w:val="000000"/>
                <w:spacing w:val="-5"/>
                <w:kern w:val="0"/>
              </w:rPr>
              <w:t>+</w:t>
            </w:r>
            <w:r>
              <w:rPr>
                <w:rFonts w:hint="eastAsia" w:ascii="Times New Roman" w:hAnsi="宋体" w:cs="宋体"/>
                <w:color w:val="000000"/>
                <w:spacing w:val="-5"/>
                <w:kern w:val="0"/>
              </w:rPr>
              <w:t>社会工作者</w:t>
            </w:r>
            <w:r>
              <w:rPr>
                <w:rFonts w:ascii="Times New Roman" w:hAnsi="Times New Roman" w:cs="Times New Roman"/>
                <w:color w:val="000000"/>
                <w:spacing w:val="-5"/>
                <w:kern w:val="0"/>
              </w:rPr>
              <w:t>+</w:t>
            </w:r>
            <w:r>
              <w:rPr>
                <w:rFonts w:hint="eastAsia" w:ascii="Times New Roman" w:hAnsi="宋体" w:cs="宋体"/>
                <w:color w:val="000000"/>
                <w:spacing w:val="-5"/>
                <w:kern w:val="0"/>
              </w:rPr>
              <w:t>乡镇（街道）民政专干</w:t>
            </w:r>
            <w:r>
              <w:rPr>
                <w:rFonts w:ascii="Times New Roman" w:hAnsi="Times New Roman" w:cs="Times New Roman"/>
                <w:color w:val="000000"/>
                <w:spacing w:val="-5"/>
                <w:kern w:val="0"/>
              </w:rPr>
              <w:t>+</w:t>
            </w:r>
            <w:r>
              <w:rPr>
                <w:rFonts w:hint="eastAsia" w:ascii="Times New Roman" w:hAnsi="宋体" w:cs="宋体"/>
                <w:color w:val="000000"/>
                <w:spacing w:val="-5"/>
                <w:kern w:val="0"/>
              </w:rPr>
              <w:t>相关政府部门和公益慈善组织</w:t>
            </w:r>
            <w:r>
              <w:rPr>
                <w:rFonts w:ascii="Times New Roman" w:hAnsi="Times New Roman" w:cs="Times New Roman"/>
                <w:color w:val="000000"/>
                <w:spacing w:val="-5"/>
                <w:kern w:val="0"/>
              </w:rPr>
              <w:t>”</w:t>
            </w:r>
            <w:r>
              <w:rPr>
                <w:rFonts w:hint="eastAsia" w:ascii="Times New Roman" w:hAnsi="宋体" w:cs="宋体"/>
                <w:color w:val="000000"/>
                <w:spacing w:val="-5"/>
                <w:kern w:val="0"/>
              </w:rPr>
              <w:t>四级网络，建立</w:t>
            </w:r>
            <w:r>
              <w:rPr>
                <w:rFonts w:ascii="Times New Roman" w:hAnsi="Times New Roman" w:cs="Times New Roman"/>
                <w:color w:val="000000"/>
                <w:spacing w:val="-5"/>
                <w:kern w:val="0"/>
              </w:rPr>
              <w:t>“</w:t>
            </w:r>
            <w:r>
              <w:rPr>
                <w:rFonts w:hint="eastAsia" w:ascii="Times New Roman" w:hAnsi="宋体" w:cs="宋体"/>
                <w:color w:val="000000"/>
                <w:spacing w:val="-5"/>
                <w:kern w:val="0"/>
              </w:rPr>
              <w:t>四个精准</w:t>
            </w:r>
            <w:r>
              <w:rPr>
                <w:rFonts w:ascii="Times New Roman" w:hAnsi="Times New Roman" w:cs="Times New Roman"/>
                <w:color w:val="000000"/>
                <w:spacing w:val="-5"/>
                <w:kern w:val="0"/>
              </w:rPr>
              <w:t>”</w:t>
            </w:r>
            <w:r>
              <w:rPr>
                <w:rFonts w:hint="eastAsia" w:ascii="Times New Roman" w:hAnsi="宋体" w:cs="宋体"/>
                <w:color w:val="000000"/>
                <w:spacing w:val="-5"/>
                <w:kern w:val="0"/>
              </w:rPr>
              <w:t>体系（对象精准识别、需求精准分析、资源精准对接、项目精准打造），创新乡镇（街道）社会工作服务站运行机制，提升基层民政服务能力。</w:t>
            </w:r>
            <w:r>
              <w:rPr>
                <w:rFonts w:ascii="Times New Roman" w:hAnsi="Times New Roman" w:cs="Times New Roman"/>
                <w:color w:val="000000"/>
                <w:kern w:val="0"/>
              </w:rPr>
              <w:br w:type="textWrapping"/>
            </w:r>
            <w:r>
              <w:rPr>
                <w:rFonts w:ascii="Times New Roman" w:hAnsi="Times New Roman" w:cs="Times New Roman"/>
                <w:color w:val="000000"/>
                <w:kern w:val="0"/>
              </w:rPr>
              <w:t>9</w:t>
            </w:r>
            <w:r>
              <w:rPr>
                <w:rFonts w:hint="eastAsia" w:ascii="Times New Roman" w:hAnsi="宋体" w:cs="宋体"/>
                <w:color w:val="000000"/>
                <w:kern w:val="0"/>
              </w:rPr>
              <w:t>、引入社会工作者，建立对民政服务对象的主动发现和综合服务体系，构建社会工作介入社会救助（或养老、残疾人权益保护、留守儿童关爱等）机制。</w:t>
            </w:r>
            <w:r>
              <w:rPr>
                <w:rFonts w:ascii="Times New Roman" w:hAnsi="Times New Roman" w:cs="Times New Roman"/>
                <w:color w:val="000000"/>
                <w:kern w:val="0"/>
              </w:rPr>
              <w:br w:type="textWrapping"/>
            </w:r>
            <w:r>
              <w:rPr>
                <w:rFonts w:ascii="Times New Roman" w:hAnsi="Times New Roman" w:cs="Times New Roman"/>
                <w:color w:val="000000"/>
                <w:kern w:val="0"/>
              </w:rPr>
              <w:t>10</w:t>
            </w:r>
            <w:r>
              <w:rPr>
                <w:rFonts w:hint="eastAsia" w:ascii="Times New Roman" w:hAnsi="宋体" w:cs="宋体"/>
                <w:color w:val="000000"/>
                <w:kern w:val="0"/>
              </w:rPr>
              <w:t>、探索建立乡镇民政资金监督管理机制，推进民政资金监管作用发挥。</w:t>
            </w:r>
            <w:r>
              <w:rPr>
                <w:rFonts w:ascii="Times New Roman" w:hAnsi="Times New Roman" w:cs="Times New Roman"/>
                <w:color w:val="000000"/>
                <w:kern w:val="0"/>
              </w:rPr>
              <w:br w:type="textWrapping"/>
            </w:r>
            <w:r>
              <w:rPr>
                <w:rFonts w:ascii="Times New Roman" w:hAnsi="Times New Roman" w:cs="Times New Roman"/>
                <w:color w:val="000000"/>
                <w:kern w:val="0"/>
              </w:rPr>
              <w:t>11</w:t>
            </w:r>
            <w:r>
              <w:rPr>
                <w:rFonts w:hint="eastAsia" w:ascii="Times New Roman" w:hAnsi="宋体" w:cs="宋体"/>
                <w:color w:val="000000"/>
                <w:kern w:val="0"/>
              </w:rPr>
              <w:t>、</w:t>
            </w:r>
            <w:r>
              <w:rPr>
                <w:rFonts w:hint="eastAsia" w:ascii="Times New Roman" w:hAnsi="宋体" w:cs="宋体"/>
                <w:color w:val="000000"/>
                <w:spacing w:val="-5"/>
                <w:kern w:val="0"/>
              </w:rPr>
              <w:t>探索建立社会救助兜底保障对象救助帮扶长效机制，明确具体救助帮扶措施，落实好基本生活、住房、医疗、教育、就业等保障措施。</w:t>
            </w:r>
            <w:r>
              <w:rPr>
                <w:rFonts w:ascii="Times New Roman" w:hAnsi="Times New Roman" w:cs="Times New Roman"/>
                <w:color w:val="000000"/>
                <w:kern w:val="0"/>
              </w:rPr>
              <w:br w:type="textWrapping"/>
            </w:r>
            <w:r>
              <w:rPr>
                <w:rFonts w:ascii="Times New Roman" w:hAnsi="Times New Roman" w:cs="Times New Roman"/>
                <w:color w:val="000000"/>
                <w:kern w:val="0"/>
              </w:rPr>
              <w:t>12</w:t>
            </w:r>
            <w:r>
              <w:rPr>
                <w:rFonts w:hint="eastAsia" w:ascii="Times New Roman" w:hAnsi="宋体" w:cs="宋体"/>
                <w:color w:val="000000"/>
                <w:kern w:val="0"/>
              </w:rPr>
              <w:t>、制定低保家庭收入和财产核算评估办法，精准核实低保家庭收入和财产，实现低保分档救助向精准差额救助转变。</w:t>
            </w:r>
            <w:r>
              <w:rPr>
                <w:rFonts w:ascii="Times New Roman" w:hAnsi="Times New Roman" w:cs="Times New Roman"/>
                <w:color w:val="000000"/>
                <w:kern w:val="0"/>
              </w:rPr>
              <w:br w:type="textWrapping"/>
            </w:r>
            <w:r>
              <w:rPr>
                <w:rFonts w:ascii="Times New Roman" w:hAnsi="Times New Roman" w:cs="Times New Roman"/>
                <w:color w:val="000000"/>
                <w:kern w:val="0"/>
              </w:rPr>
              <w:t>13</w:t>
            </w:r>
            <w:r>
              <w:rPr>
                <w:rFonts w:hint="eastAsia" w:ascii="Times New Roman" w:hAnsi="宋体" w:cs="宋体"/>
                <w:color w:val="000000"/>
                <w:kern w:val="0"/>
              </w:rPr>
              <w:t>、健全分散供养特困人员救助供养工作管理机制，加强分散供养特困人员基本生活保障和照料服务。</w:t>
            </w:r>
            <w:r>
              <w:rPr>
                <w:rFonts w:ascii="Times New Roman" w:hAnsi="Times New Roman" w:cs="Times New Roman"/>
                <w:color w:val="000000"/>
                <w:kern w:val="0"/>
              </w:rPr>
              <w:br w:type="textWrapping"/>
            </w:r>
            <w:r>
              <w:rPr>
                <w:rFonts w:ascii="Times New Roman" w:hAnsi="Times New Roman" w:cs="Times New Roman"/>
                <w:color w:val="000000"/>
                <w:kern w:val="0"/>
              </w:rPr>
              <w:t>14</w:t>
            </w:r>
            <w:r>
              <w:rPr>
                <w:rFonts w:hint="eastAsia" w:ascii="Times New Roman" w:hAnsi="宋体" w:cs="宋体"/>
                <w:color w:val="000000"/>
                <w:kern w:val="0"/>
              </w:rPr>
              <w:t>、探索以乡镇（街道）</w:t>
            </w:r>
            <w:r>
              <w:rPr>
                <w:rFonts w:ascii="Times New Roman" w:hAnsi="Times New Roman" w:cs="Times New Roman"/>
                <w:color w:val="000000"/>
                <w:kern w:val="0"/>
              </w:rPr>
              <w:t>“</w:t>
            </w:r>
            <w:r>
              <w:rPr>
                <w:rFonts w:hint="eastAsia" w:ascii="Times New Roman" w:hAnsi="宋体" w:cs="宋体"/>
                <w:color w:val="000000"/>
                <w:kern w:val="0"/>
              </w:rPr>
              <w:t>一站式</w:t>
            </w:r>
            <w:r>
              <w:rPr>
                <w:rFonts w:ascii="Times New Roman" w:hAnsi="Times New Roman" w:cs="Times New Roman"/>
                <w:color w:val="000000"/>
                <w:kern w:val="0"/>
              </w:rPr>
              <w:t>”</w:t>
            </w:r>
            <w:r>
              <w:rPr>
                <w:rFonts w:hint="eastAsia" w:ascii="Times New Roman" w:hAnsi="宋体" w:cs="宋体"/>
                <w:color w:val="000000"/>
                <w:kern w:val="0"/>
              </w:rPr>
              <w:t>公共服务平台为依托，实现乡镇公共服务</w:t>
            </w:r>
            <w:r>
              <w:rPr>
                <w:rFonts w:ascii="Times New Roman" w:hAnsi="Times New Roman" w:cs="Times New Roman"/>
                <w:color w:val="000000"/>
                <w:kern w:val="0"/>
              </w:rPr>
              <w:t>“</w:t>
            </w:r>
            <w:r>
              <w:rPr>
                <w:rFonts w:hint="eastAsia" w:ascii="Times New Roman" w:hAnsi="宋体" w:cs="宋体"/>
                <w:color w:val="000000"/>
                <w:kern w:val="0"/>
              </w:rPr>
              <w:t>马上办、网上办、就近办、一次办</w:t>
            </w:r>
            <w:r>
              <w:rPr>
                <w:rFonts w:ascii="Times New Roman" w:hAnsi="Times New Roman" w:cs="Times New Roman"/>
                <w:color w:val="000000"/>
                <w:kern w:val="0"/>
              </w:rPr>
              <w:t>”</w:t>
            </w:r>
            <w:r>
              <w:rPr>
                <w:rFonts w:hint="eastAsia" w:ascii="Times New Roman" w:hAnsi="宋体" w:cs="宋体"/>
                <w:color w:val="000000"/>
                <w:kern w:val="0"/>
              </w:rPr>
              <w:t>。</w:t>
            </w:r>
            <w:r>
              <w:rPr>
                <w:rFonts w:ascii="Times New Roman" w:hAnsi="Times New Roman" w:cs="Times New Roman"/>
                <w:color w:val="000000"/>
                <w:kern w:val="0"/>
              </w:rPr>
              <w:br w:type="textWrapping"/>
            </w:r>
            <w:r>
              <w:rPr>
                <w:rFonts w:ascii="Times New Roman" w:hAnsi="Times New Roman" w:cs="Times New Roman"/>
                <w:color w:val="000000"/>
                <w:kern w:val="0"/>
              </w:rPr>
              <w:t>15</w:t>
            </w:r>
            <w:r>
              <w:rPr>
                <w:rFonts w:hint="eastAsia" w:ascii="Times New Roman" w:hAnsi="宋体" w:cs="宋体"/>
                <w:color w:val="000000"/>
                <w:kern w:val="0"/>
              </w:rPr>
              <w:t>、发挥</w:t>
            </w:r>
            <w:r>
              <w:rPr>
                <w:rFonts w:ascii="Times New Roman" w:hAnsi="Times New Roman" w:cs="Times New Roman"/>
                <w:color w:val="000000"/>
                <w:kern w:val="0"/>
              </w:rPr>
              <w:t>“</w:t>
            </w:r>
            <w:r>
              <w:rPr>
                <w:rFonts w:hint="eastAsia" w:ascii="Times New Roman" w:hAnsi="宋体" w:cs="宋体"/>
                <w:color w:val="000000"/>
                <w:kern w:val="0"/>
              </w:rPr>
              <w:t>互联网</w:t>
            </w:r>
            <w:r>
              <w:rPr>
                <w:rFonts w:ascii="Times New Roman" w:hAnsi="Times New Roman" w:cs="Times New Roman"/>
                <w:color w:val="000000"/>
                <w:kern w:val="0"/>
              </w:rPr>
              <w:t>+</w:t>
            </w:r>
            <w:r>
              <w:rPr>
                <w:rFonts w:hint="eastAsia" w:ascii="Times New Roman" w:hAnsi="宋体" w:cs="宋体"/>
                <w:color w:val="000000"/>
                <w:kern w:val="0"/>
              </w:rPr>
              <w:t>村务</w:t>
            </w:r>
            <w:r>
              <w:rPr>
                <w:rFonts w:ascii="Times New Roman" w:hAnsi="Times New Roman" w:cs="Times New Roman"/>
                <w:color w:val="000000"/>
                <w:kern w:val="0"/>
              </w:rPr>
              <w:t>”</w:t>
            </w:r>
            <w:r>
              <w:rPr>
                <w:rFonts w:hint="eastAsia" w:ascii="Times New Roman" w:hAnsi="宋体" w:cs="宋体"/>
                <w:color w:val="000000"/>
                <w:kern w:val="0"/>
              </w:rPr>
              <w:t>线上平台作用，深化村务公开</w:t>
            </w:r>
            <w:r>
              <w:rPr>
                <w:rFonts w:ascii="Times New Roman" w:hAnsi="Times New Roman" w:cs="Times New Roman"/>
                <w:color w:val="000000"/>
                <w:kern w:val="0"/>
              </w:rPr>
              <w:t>“</w:t>
            </w:r>
            <w:r>
              <w:rPr>
                <w:rFonts w:hint="eastAsia" w:ascii="Times New Roman" w:hAnsi="宋体" w:cs="宋体"/>
                <w:color w:val="000000"/>
                <w:kern w:val="0"/>
              </w:rPr>
              <w:t>亮栏</w:t>
            </w:r>
            <w:r>
              <w:rPr>
                <w:rFonts w:ascii="Times New Roman" w:hAnsi="Times New Roman" w:cs="Times New Roman"/>
                <w:color w:val="000000"/>
                <w:kern w:val="0"/>
              </w:rPr>
              <w:t>”</w:t>
            </w:r>
            <w:r>
              <w:rPr>
                <w:rFonts w:hint="eastAsia" w:ascii="Times New Roman" w:hAnsi="宋体" w:cs="宋体"/>
                <w:color w:val="000000"/>
                <w:kern w:val="0"/>
              </w:rPr>
              <w:t>行动，推动形成线上线下村务公开融合发展格局。</w:t>
            </w:r>
            <w:r>
              <w:rPr>
                <w:rFonts w:ascii="Times New Roman" w:hAnsi="Times New Roman" w:cs="Times New Roman"/>
                <w:color w:val="000000"/>
                <w:kern w:val="0"/>
              </w:rPr>
              <w:br w:type="textWrapping"/>
            </w:r>
            <w:r>
              <w:rPr>
                <w:rFonts w:hint="eastAsia" w:ascii="Times New Roman" w:hAnsi="宋体" w:cs="宋体"/>
                <w:color w:val="000000"/>
                <w:kern w:val="0"/>
              </w:rPr>
              <w:t>注：各县市区可立足本地实际，自拟创新实验主题。</w:t>
            </w:r>
          </w:p>
        </w:tc>
        <w:tc>
          <w:tcPr>
            <w:tcW w:w="1246" w:type="dxa"/>
            <w:vAlign w:val="center"/>
          </w:tcPr>
          <w:p>
            <w:pPr>
              <w:widowControl/>
              <w:spacing w:line="320" w:lineRule="exact"/>
              <w:jc w:val="center"/>
              <w:rPr>
                <w:rFonts w:ascii="Times New Roman" w:hAnsi="Times New Roman" w:cs="Times New Roman"/>
                <w:color w:val="000000"/>
                <w:kern w:val="0"/>
              </w:rPr>
            </w:pPr>
            <w:r>
              <w:rPr>
                <w:rFonts w:ascii="Times New Roman" w:hAnsi="Times New Roman" w:cs="Times New Roman"/>
                <w:color w:val="000000"/>
                <w:kern w:val="0"/>
              </w:rPr>
              <w:t>12</w:t>
            </w:r>
            <w:r>
              <w:rPr>
                <w:rFonts w:hint="eastAsia" w:ascii="Times New Roman" w:hAnsi="宋体" w:cs="宋体"/>
                <w:color w:val="000000"/>
                <w:kern w:val="0"/>
              </w:rPr>
              <w:t>分</w:t>
            </w:r>
          </w:p>
        </w:tc>
      </w:tr>
    </w:tbl>
    <w:p>
      <w:pPr>
        <w:spacing w:line="580" w:lineRule="exact"/>
        <w:rPr>
          <w:rFonts w:ascii="Times New Roman" w:hAnsi="Times New Roman" w:eastAsia="黑体" w:cs="Times New Roman"/>
          <w:color w:val="000000"/>
          <w:kern w:val="0"/>
          <w:sz w:val="32"/>
          <w:szCs w:val="32"/>
        </w:rPr>
      </w:pPr>
      <w:r>
        <w:rPr>
          <w:rFonts w:ascii="Times New Roman" w:hAnsi="Times New Roman" w:eastAsia="方正小标宋简体" w:cs="Times New Roman"/>
          <w:color w:val="000000"/>
          <w:kern w:val="0"/>
          <w:sz w:val="44"/>
          <w:szCs w:val="44"/>
        </w:rPr>
        <w:br w:type="page"/>
      </w:r>
      <w:r>
        <w:rPr>
          <w:rFonts w:hint="eastAsia" w:ascii="Times New Roman" w:hAnsi="Times New Roman" w:eastAsia="黑体" w:cs="黑体"/>
          <w:color w:val="000000"/>
          <w:kern w:val="0"/>
          <w:sz w:val="32"/>
          <w:szCs w:val="32"/>
        </w:rPr>
        <w:t>附件</w:t>
      </w:r>
      <w:r>
        <w:rPr>
          <w:rFonts w:ascii="Times New Roman" w:hAnsi="Times New Roman" w:eastAsia="黑体" w:cs="Times New Roman"/>
          <w:color w:val="000000"/>
          <w:kern w:val="0"/>
          <w:sz w:val="32"/>
          <w:szCs w:val="32"/>
        </w:rPr>
        <w:t>2</w:t>
      </w:r>
    </w:p>
    <w:p>
      <w:pPr>
        <w:spacing w:line="580" w:lineRule="exact"/>
        <w:rPr>
          <w:rFonts w:ascii="Times New Roman" w:hAnsi="Times New Roman" w:eastAsia="黑体" w:cs="Times New Roman"/>
          <w:color w:val="000000"/>
          <w:kern w:val="0"/>
          <w:sz w:val="32"/>
          <w:szCs w:val="32"/>
        </w:rPr>
      </w:pPr>
    </w:p>
    <w:p>
      <w:pPr>
        <w:spacing w:line="580" w:lineRule="exact"/>
        <w:jc w:val="center"/>
        <w:rPr>
          <w:rFonts w:ascii="Times New Roman" w:hAnsi="Times New Roman" w:eastAsia="方正小标宋简体" w:cs="Times New Roman"/>
          <w:color w:val="000000"/>
          <w:kern w:val="0"/>
          <w:sz w:val="44"/>
          <w:szCs w:val="44"/>
        </w:rPr>
      </w:pPr>
      <w:r>
        <w:rPr>
          <w:rFonts w:ascii="Times New Roman" w:hAnsi="Times New Roman" w:eastAsia="方正小标宋简体" w:cs="Times New Roman"/>
          <w:color w:val="000000"/>
          <w:kern w:val="0"/>
          <w:sz w:val="44"/>
          <w:szCs w:val="44"/>
        </w:rPr>
        <w:t>2019</w:t>
      </w:r>
      <w:r>
        <w:rPr>
          <w:rFonts w:hint="eastAsia" w:ascii="Times New Roman" w:hAnsi="Times New Roman" w:eastAsia="方正小标宋简体" w:cs="方正小标宋简体"/>
          <w:color w:val="000000"/>
          <w:kern w:val="0"/>
          <w:sz w:val="44"/>
          <w:szCs w:val="44"/>
        </w:rPr>
        <w:t>年度五化民政建设评估指标说明</w:t>
      </w:r>
    </w:p>
    <w:p>
      <w:pPr>
        <w:spacing w:line="580" w:lineRule="exact"/>
        <w:jc w:val="left"/>
        <w:rPr>
          <w:rFonts w:ascii="Times New Roman" w:hAnsi="Times New Roman" w:eastAsia="楷体" w:cs="Times New Roman"/>
          <w:b/>
          <w:bCs/>
          <w:color w:val="000000"/>
          <w:kern w:val="0"/>
          <w:sz w:val="30"/>
          <w:szCs w:val="30"/>
        </w:rPr>
      </w:pPr>
    </w:p>
    <w:p>
      <w:pPr>
        <w:spacing w:line="580" w:lineRule="exact"/>
        <w:ind w:firstLine="640" w:firstLineChars="200"/>
        <w:rPr>
          <w:rFonts w:ascii="Times New Roman" w:hAnsi="Times New Roman" w:eastAsia="黑体" w:cs="Times New Roman"/>
          <w:color w:val="000000"/>
          <w:kern w:val="0"/>
          <w:sz w:val="32"/>
          <w:szCs w:val="32"/>
        </w:rPr>
      </w:pPr>
      <w:r>
        <w:rPr>
          <w:rFonts w:hint="eastAsia" w:ascii="Times New Roman" w:hAnsi="Times New Roman" w:eastAsia="黑体" w:cs="黑体"/>
          <w:color w:val="000000"/>
          <w:kern w:val="0"/>
          <w:sz w:val="32"/>
          <w:szCs w:val="32"/>
        </w:rPr>
        <w:t>一、综合性指标</w:t>
      </w:r>
    </w:p>
    <w:p>
      <w:pPr>
        <w:spacing w:line="580" w:lineRule="exact"/>
        <w:ind w:firstLine="643" w:firstLineChars="200"/>
        <w:rPr>
          <w:rFonts w:ascii="楷体_GB2312" w:hAnsi="Times New Roman" w:eastAsia="楷体_GB2312" w:cs="Times New Roman"/>
          <w:b/>
          <w:bCs/>
          <w:color w:val="000000"/>
          <w:kern w:val="0"/>
          <w:sz w:val="32"/>
          <w:szCs w:val="32"/>
        </w:rPr>
      </w:pPr>
      <w:r>
        <w:rPr>
          <w:rFonts w:hint="eastAsia" w:ascii="楷体_GB2312" w:hAnsi="Times New Roman" w:eastAsia="楷体_GB2312" w:cs="楷体_GB2312"/>
          <w:b/>
          <w:bCs/>
          <w:color w:val="000000"/>
          <w:kern w:val="0"/>
          <w:sz w:val="32"/>
          <w:szCs w:val="32"/>
        </w:rPr>
        <w:t>（一）人本化</w:t>
      </w:r>
    </w:p>
    <w:tbl>
      <w:tblPr>
        <w:tblStyle w:val="7"/>
        <w:tblW w:w="8803"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79"/>
        <w:gridCol w:w="6193"/>
        <w:gridCol w:w="12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379" w:type="dxa"/>
            <w:vAlign w:val="center"/>
          </w:tcPr>
          <w:p>
            <w:pPr>
              <w:spacing w:line="400" w:lineRule="exact"/>
              <w:jc w:val="center"/>
              <w:rPr>
                <w:rFonts w:ascii="Times New Roman" w:hAnsi="Times New Roman" w:cs="Times New Roman"/>
                <w:color w:val="000000"/>
                <w:sz w:val="24"/>
                <w:szCs w:val="24"/>
              </w:rPr>
            </w:pPr>
            <w:r>
              <w:rPr>
                <w:rFonts w:hint="eastAsia" w:ascii="Times New Roman" w:hAnsi="Times New Roman" w:cs="宋体"/>
                <w:color w:val="000000"/>
                <w:sz w:val="24"/>
                <w:szCs w:val="24"/>
              </w:rPr>
              <w:t>（一）</w:t>
            </w:r>
          </w:p>
        </w:tc>
        <w:tc>
          <w:tcPr>
            <w:tcW w:w="6193" w:type="dxa"/>
            <w:vAlign w:val="center"/>
          </w:tcPr>
          <w:p>
            <w:pPr>
              <w:spacing w:line="400" w:lineRule="exact"/>
              <w:rPr>
                <w:rFonts w:ascii="Times New Roman" w:hAnsi="Times New Roman" w:cs="Times New Roman"/>
                <w:color w:val="000000"/>
                <w:sz w:val="24"/>
                <w:szCs w:val="24"/>
              </w:rPr>
            </w:pPr>
            <w:r>
              <w:rPr>
                <w:rFonts w:hint="eastAsia" w:ascii="Times New Roman" w:hAnsi="Times New Roman" w:cs="宋体"/>
                <w:color w:val="000000"/>
                <w:sz w:val="24"/>
                <w:szCs w:val="24"/>
              </w:rPr>
              <w:t>建立健全党委政府研究民政工作机制和养老、困难群众生活保障农村留守儿童关爱保护、困境儿童保障、殡葬改革、社会组织等领导协调工作机制，以上机制有效运转。</w:t>
            </w:r>
          </w:p>
        </w:tc>
        <w:tc>
          <w:tcPr>
            <w:tcW w:w="1231" w:type="dxa"/>
            <w:vAlign w:val="center"/>
          </w:tcPr>
          <w:p>
            <w:pPr>
              <w:spacing w:line="400" w:lineRule="exact"/>
              <w:jc w:val="center"/>
              <w:rPr>
                <w:rFonts w:ascii="Times New Roman" w:hAnsi="Times New Roman" w:cs="Times New Roman"/>
                <w:color w:val="000000"/>
                <w:sz w:val="24"/>
                <w:szCs w:val="24"/>
              </w:rPr>
            </w:pPr>
            <w:r>
              <w:rPr>
                <w:rFonts w:ascii="Times New Roman" w:hAnsi="Times New Roman" w:cs="Times New Roman"/>
                <w:color w:val="000000"/>
                <w:sz w:val="24"/>
                <w:szCs w:val="24"/>
              </w:rPr>
              <w:t>2</w:t>
            </w:r>
            <w:r>
              <w:rPr>
                <w:rFonts w:hint="eastAsia" w:ascii="Times New Roman" w:hAnsi="Times New Roman" w:cs="宋体"/>
                <w:color w:val="000000"/>
                <w:sz w:val="24"/>
                <w:szCs w:val="24"/>
              </w:rPr>
              <w:t>分</w:t>
            </w:r>
          </w:p>
        </w:tc>
      </w:tr>
    </w:tbl>
    <w:p>
      <w:pPr>
        <w:spacing w:line="580" w:lineRule="exact"/>
        <w:ind w:firstLine="640" w:firstLineChars="200"/>
        <w:rPr>
          <w:rFonts w:ascii="Times New Roman" w:hAnsi="Times New Roman" w:eastAsia="仿宋_GB2312" w:cs="Times New Roman"/>
          <w:color w:val="000000"/>
          <w:sz w:val="32"/>
          <w:szCs w:val="32"/>
        </w:rPr>
      </w:pPr>
      <w:r>
        <w:rPr>
          <w:rFonts w:hint="eastAsia" w:ascii="Times New Roman" w:hAnsi="Times New Roman" w:eastAsia="仿宋_GB2312" w:cs="仿宋_GB2312"/>
          <w:color w:val="000000"/>
          <w:sz w:val="32"/>
          <w:szCs w:val="32"/>
        </w:rPr>
        <w:t>本项指标从党政领导机制和专项协调机制两方面对县市区民政工作机制建立情况进行评估。目标值的确定依据主要是《社会救助暂行办法》、《国务院办公厅关于加强困难群众基本生活保障有关工作的通知》、《湖南省人民政府关于加快推进养老服务业发展的实施意见》、《湖南省人民政府关于加强农村留守儿童关爱保护工作的实施意见》、《湖南省人民政府关于加强困境儿童保障工作的实施意见》、《关于党员干部带头推动殡葬改革的实施意见》、《中共中央办公厅、国务院办公厅关于改革社会组织管理制度、促进社会组织健康有序发展的意见》等法规政策。评估方式主要是查阅建立领导协调机制的文件和会议资料，少建</w:t>
      </w:r>
      <w:r>
        <w:rPr>
          <w:rFonts w:ascii="Times New Roman" w:hAnsi="Times New Roman" w:eastAsia="仿宋_GB2312" w:cs="Times New Roman"/>
          <w:color w:val="000000"/>
          <w:sz w:val="32"/>
          <w:szCs w:val="32"/>
        </w:rPr>
        <w:t>1</w:t>
      </w:r>
      <w:r>
        <w:rPr>
          <w:rFonts w:hint="eastAsia" w:ascii="Times New Roman" w:hAnsi="Times New Roman" w:eastAsia="仿宋_GB2312" w:cs="仿宋_GB2312"/>
          <w:color w:val="000000"/>
          <w:sz w:val="32"/>
          <w:szCs w:val="32"/>
        </w:rPr>
        <w:t>个扣</w:t>
      </w:r>
      <w:r>
        <w:rPr>
          <w:rFonts w:ascii="Times New Roman" w:hAnsi="Times New Roman" w:eastAsia="仿宋_GB2312" w:cs="Times New Roman"/>
          <w:color w:val="000000"/>
          <w:sz w:val="32"/>
          <w:szCs w:val="32"/>
        </w:rPr>
        <w:t>0.2</w:t>
      </w:r>
      <w:r>
        <w:rPr>
          <w:rFonts w:hint="eastAsia" w:ascii="Times New Roman" w:hAnsi="Times New Roman" w:eastAsia="仿宋_GB2312" w:cs="仿宋_GB2312"/>
          <w:color w:val="000000"/>
          <w:sz w:val="32"/>
          <w:szCs w:val="32"/>
        </w:rPr>
        <w:t>分，扣完</w:t>
      </w:r>
      <w:r>
        <w:rPr>
          <w:rFonts w:ascii="Times New Roman" w:hAnsi="Times New Roman" w:eastAsia="仿宋_GB2312" w:cs="Times New Roman"/>
          <w:color w:val="000000"/>
          <w:sz w:val="32"/>
          <w:szCs w:val="32"/>
        </w:rPr>
        <w:t>1</w:t>
      </w:r>
      <w:r>
        <w:rPr>
          <w:rFonts w:hint="eastAsia" w:ascii="Times New Roman" w:hAnsi="Times New Roman" w:eastAsia="仿宋_GB2312" w:cs="仿宋_GB2312"/>
          <w:color w:val="000000"/>
          <w:sz w:val="32"/>
          <w:szCs w:val="32"/>
        </w:rPr>
        <w:t>分为止。建立了机制但未召开会议讨论有关民政问题的，每个扣</w:t>
      </w:r>
      <w:r>
        <w:rPr>
          <w:rFonts w:ascii="Times New Roman" w:hAnsi="Times New Roman" w:eastAsia="仿宋_GB2312" w:cs="Times New Roman"/>
          <w:color w:val="000000"/>
          <w:sz w:val="32"/>
          <w:szCs w:val="32"/>
        </w:rPr>
        <w:t>0.2</w:t>
      </w:r>
      <w:r>
        <w:rPr>
          <w:rFonts w:hint="eastAsia" w:ascii="Times New Roman" w:hAnsi="Times New Roman" w:eastAsia="仿宋_GB2312" w:cs="仿宋_GB2312"/>
          <w:color w:val="000000"/>
          <w:sz w:val="32"/>
          <w:szCs w:val="32"/>
        </w:rPr>
        <w:t>分，扣完</w:t>
      </w:r>
      <w:r>
        <w:rPr>
          <w:rFonts w:ascii="Times New Roman" w:hAnsi="Times New Roman" w:eastAsia="仿宋_GB2312" w:cs="Times New Roman"/>
          <w:color w:val="000000"/>
          <w:sz w:val="32"/>
          <w:szCs w:val="32"/>
        </w:rPr>
        <w:t>1</w:t>
      </w:r>
      <w:r>
        <w:rPr>
          <w:rFonts w:hint="eastAsia" w:ascii="Times New Roman" w:hAnsi="Times New Roman" w:eastAsia="仿宋_GB2312" w:cs="仿宋_GB2312"/>
          <w:color w:val="000000"/>
          <w:sz w:val="32"/>
          <w:szCs w:val="32"/>
        </w:rPr>
        <w:t>分为止。</w:t>
      </w:r>
    </w:p>
    <w:tbl>
      <w:tblPr>
        <w:tblStyle w:val="7"/>
        <w:tblW w:w="8765"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62"/>
        <w:gridCol w:w="6489"/>
        <w:gridCol w:w="10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262" w:type="dxa"/>
            <w:vAlign w:val="center"/>
          </w:tcPr>
          <w:p>
            <w:pPr>
              <w:spacing w:line="400" w:lineRule="exact"/>
              <w:jc w:val="center"/>
              <w:rPr>
                <w:rFonts w:ascii="Times New Roman" w:hAnsi="Times New Roman" w:cs="Times New Roman"/>
                <w:color w:val="000000"/>
                <w:sz w:val="24"/>
                <w:szCs w:val="24"/>
              </w:rPr>
            </w:pPr>
            <w:r>
              <w:rPr>
                <w:rFonts w:hint="eastAsia" w:ascii="Times New Roman" w:hAnsi="Times New Roman" w:cs="宋体"/>
                <w:color w:val="000000"/>
                <w:sz w:val="24"/>
                <w:szCs w:val="24"/>
              </w:rPr>
              <w:t>（二）</w:t>
            </w:r>
          </w:p>
        </w:tc>
        <w:tc>
          <w:tcPr>
            <w:tcW w:w="6489" w:type="dxa"/>
            <w:vAlign w:val="center"/>
          </w:tcPr>
          <w:p>
            <w:pPr>
              <w:spacing w:line="400" w:lineRule="exact"/>
              <w:rPr>
                <w:rFonts w:ascii="Times New Roman" w:hAnsi="Times New Roman" w:cs="Times New Roman"/>
                <w:color w:val="000000"/>
                <w:spacing w:val="-5"/>
                <w:sz w:val="24"/>
                <w:szCs w:val="24"/>
              </w:rPr>
            </w:pPr>
            <w:r>
              <w:rPr>
                <w:rFonts w:hint="eastAsia" w:ascii="Times New Roman" w:hAnsi="Times New Roman" w:cs="宋体"/>
                <w:color w:val="000000"/>
                <w:spacing w:val="-5"/>
                <w:sz w:val="24"/>
                <w:szCs w:val="24"/>
              </w:rPr>
              <w:t>最低生活保障、特困人员救助供养、非急难型临时救助、孤儿保障、残疾人两项补贴等常年保障民政对象的经费全部实现社会化发放，并及时足额发放到位，资金管理和使用规范合法。</w:t>
            </w:r>
          </w:p>
        </w:tc>
        <w:tc>
          <w:tcPr>
            <w:tcW w:w="1014" w:type="dxa"/>
            <w:vAlign w:val="center"/>
          </w:tcPr>
          <w:p>
            <w:pPr>
              <w:spacing w:line="400" w:lineRule="exact"/>
              <w:jc w:val="center"/>
              <w:rPr>
                <w:rFonts w:ascii="Times New Roman" w:hAnsi="Times New Roman" w:cs="Times New Roman"/>
                <w:color w:val="000000"/>
                <w:sz w:val="24"/>
                <w:szCs w:val="24"/>
              </w:rPr>
            </w:pPr>
            <w:r>
              <w:rPr>
                <w:rFonts w:ascii="Times New Roman" w:hAnsi="Times New Roman" w:cs="Times New Roman"/>
                <w:color w:val="000000"/>
                <w:sz w:val="24"/>
                <w:szCs w:val="24"/>
              </w:rPr>
              <w:t>4</w:t>
            </w:r>
            <w:r>
              <w:rPr>
                <w:rFonts w:hint="eastAsia" w:ascii="Times New Roman" w:hAnsi="Times New Roman" w:cs="宋体"/>
                <w:color w:val="000000"/>
                <w:sz w:val="24"/>
                <w:szCs w:val="24"/>
              </w:rPr>
              <w:t>分</w:t>
            </w:r>
          </w:p>
        </w:tc>
      </w:tr>
    </w:tbl>
    <w:p>
      <w:pPr>
        <w:widowControl/>
        <w:spacing w:line="580" w:lineRule="exact"/>
        <w:ind w:firstLine="640" w:firstLineChars="200"/>
        <w:rPr>
          <w:rFonts w:ascii="Times New Roman" w:hAnsi="Times New Roman" w:eastAsia="仿宋" w:cs="Times New Roman"/>
          <w:color w:val="000000"/>
          <w:sz w:val="32"/>
          <w:szCs w:val="32"/>
        </w:rPr>
      </w:pPr>
      <w:r>
        <w:rPr>
          <w:rFonts w:hint="eastAsia" w:ascii="Times New Roman" w:hAnsi="Times New Roman" w:eastAsia="仿宋" w:cs="仿宋"/>
          <w:color w:val="000000"/>
          <w:sz w:val="32"/>
          <w:szCs w:val="32"/>
        </w:rPr>
        <w:t>本项指标从资金类别、发放方式、发放要求等方面对县市区的民政资金发放情况进行评估。目标值的确定依据主要是《湖南省省级财政专项资金分配审批管理办法》、《湖南省民政对象补助专项资金管理办法》和《湖南省民政公共服务设施建设专项资金管理办法》等政策文件。评估方式主要是查阅县市区民政资金的发放台账、各类信息管理系统统计情况与银行资金发放对账单并对救助对象进行抽查核实。资金发放管理中出现重大资金违法违规行为的，扣</w:t>
      </w:r>
      <w:r>
        <w:rPr>
          <w:rFonts w:ascii="Times New Roman" w:hAnsi="Times New Roman" w:eastAsia="仿宋" w:cs="Times New Roman"/>
          <w:color w:val="000000"/>
          <w:sz w:val="32"/>
          <w:szCs w:val="32"/>
        </w:rPr>
        <w:t>4</w:t>
      </w:r>
      <w:r>
        <w:rPr>
          <w:rFonts w:hint="eastAsia" w:ascii="Times New Roman" w:hAnsi="Times New Roman" w:eastAsia="仿宋" w:cs="仿宋"/>
          <w:color w:val="000000"/>
          <w:sz w:val="32"/>
          <w:szCs w:val="32"/>
        </w:rPr>
        <w:t>分；没有实行社会化发放的，扣</w:t>
      </w:r>
      <w:r>
        <w:rPr>
          <w:rFonts w:ascii="Times New Roman" w:hAnsi="Times New Roman" w:eastAsia="仿宋" w:cs="Times New Roman"/>
          <w:color w:val="000000"/>
          <w:sz w:val="32"/>
          <w:szCs w:val="32"/>
        </w:rPr>
        <w:t>2</w:t>
      </w:r>
      <w:r>
        <w:rPr>
          <w:rFonts w:hint="eastAsia" w:ascii="Times New Roman" w:hAnsi="Times New Roman" w:eastAsia="仿宋" w:cs="仿宋"/>
          <w:color w:val="000000"/>
          <w:sz w:val="32"/>
          <w:szCs w:val="32"/>
        </w:rPr>
        <w:t>分；城乡低保、特困人员救助供养资金实现按月或按季发放，非急难型临时救助资金实现及时发放，孤儿保障资金按月发放，残疾人两项补贴按月发放（标准不低于每人每月</w:t>
      </w:r>
      <w:r>
        <w:rPr>
          <w:rFonts w:ascii="Times New Roman" w:hAnsi="Times New Roman" w:eastAsia="仿宋" w:cs="Times New Roman"/>
          <w:color w:val="000000"/>
          <w:sz w:val="32"/>
          <w:szCs w:val="32"/>
        </w:rPr>
        <w:t>60</w:t>
      </w:r>
      <w:r>
        <w:rPr>
          <w:rFonts w:hint="eastAsia" w:ascii="Times New Roman" w:hAnsi="Times New Roman" w:eastAsia="仿宋" w:cs="仿宋"/>
          <w:color w:val="000000"/>
          <w:sz w:val="32"/>
          <w:szCs w:val="32"/>
        </w:rPr>
        <w:t>元），没有及时足额发放的，每起扣</w:t>
      </w:r>
      <w:r>
        <w:rPr>
          <w:rFonts w:ascii="Times New Roman" w:hAnsi="Times New Roman" w:eastAsia="仿宋" w:cs="Times New Roman"/>
          <w:color w:val="000000"/>
          <w:sz w:val="32"/>
          <w:szCs w:val="32"/>
        </w:rPr>
        <w:t>0.5</w:t>
      </w:r>
      <w:r>
        <w:rPr>
          <w:rFonts w:hint="eastAsia" w:ascii="Times New Roman" w:hAnsi="Times New Roman" w:eastAsia="仿宋" w:cs="仿宋"/>
          <w:color w:val="000000"/>
          <w:sz w:val="32"/>
          <w:szCs w:val="32"/>
        </w:rPr>
        <w:t>分，扣完</w:t>
      </w:r>
      <w:r>
        <w:rPr>
          <w:rFonts w:ascii="Times New Roman" w:hAnsi="Times New Roman" w:eastAsia="仿宋" w:cs="Times New Roman"/>
          <w:color w:val="000000"/>
          <w:sz w:val="32"/>
          <w:szCs w:val="32"/>
        </w:rPr>
        <w:t>2</w:t>
      </w:r>
      <w:r>
        <w:rPr>
          <w:rFonts w:hint="eastAsia" w:ascii="Times New Roman" w:hAnsi="Times New Roman" w:eastAsia="仿宋" w:cs="仿宋"/>
          <w:color w:val="000000"/>
          <w:sz w:val="32"/>
          <w:szCs w:val="32"/>
        </w:rPr>
        <w:t>分为止。</w:t>
      </w:r>
    </w:p>
    <w:tbl>
      <w:tblPr>
        <w:tblStyle w:val="7"/>
        <w:tblW w:w="891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6"/>
        <w:gridCol w:w="6764"/>
        <w:gridCol w:w="9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206" w:type="dxa"/>
            <w:vAlign w:val="center"/>
          </w:tcPr>
          <w:p>
            <w:pPr>
              <w:spacing w:line="400" w:lineRule="exact"/>
              <w:jc w:val="center"/>
              <w:rPr>
                <w:rFonts w:ascii="Times New Roman" w:hAnsi="Times New Roman" w:cs="Times New Roman"/>
                <w:color w:val="000000"/>
                <w:sz w:val="24"/>
                <w:szCs w:val="24"/>
              </w:rPr>
            </w:pPr>
            <w:r>
              <w:rPr>
                <w:rFonts w:hint="eastAsia" w:ascii="Times New Roman" w:hAnsi="Times New Roman" w:cs="宋体"/>
                <w:color w:val="000000"/>
                <w:sz w:val="24"/>
                <w:szCs w:val="24"/>
              </w:rPr>
              <w:t>（三）</w:t>
            </w:r>
          </w:p>
        </w:tc>
        <w:tc>
          <w:tcPr>
            <w:tcW w:w="6764" w:type="dxa"/>
            <w:vAlign w:val="center"/>
          </w:tcPr>
          <w:p>
            <w:pPr>
              <w:spacing w:line="400" w:lineRule="exact"/>
              <w:rPr>
                <w:rFonts w:ascii="Times New Roman" w:hAnsi="Times New Roman" w:cs="Times New Roman"/>
                <w:color w:val="000000"/>
                <w:sz w:val="24"/>
                <w:szCs w:val="24"/>
              </w:rPr>
            </w:pPr>
            <w:r>
              <w:rPr>
                <w:rFonts w:hint="eastAsia" w:ascii="Times New Roman" w:hAnsi="Times New Roman" w:cs="宋体"/>
                <w:color w:val="000000"/>
                <w:sz w:val="24"/>
                <w:szCs w:val="24"/>
              </w:rPr>
              <w:t>城乡低保标准和救助水平均不低于上年度全国平均水平；城乡特困人员基本生活标准分别不低于当地当年城乡低保标准的</w:t>
            </w:r>
            <w:r>
              <w:rPr>
                <w:rFonts w:ascii="Times New Roman" w:hAnsi="Times New Roman" w:cs="Times New Roman"/>
                <w:color w:val="000000"/>
                <w:sz w:val="24"/>
                <w:szCs w:val="24"/>
              </w:rPr>
              <w:t>1.3</w:t>
            </w:r>
            <w:r>
              <w:rPr>
                <w:rFonts w:hint="eastAsia" w:ascii="Times New Roman" w:hAnsi="Times New Roman" w:cs="宋体"/>
                <w:color w:val="000000"/>
                <w:sz w:val="24"/>
                <w:szCs w:val="24"/>
              </w:rPr>
              <w:t>倍；制定城乡特困人员分级分类照料护理标准、安排照料护理经费并严格落实；生活不能自理特困人员集中供养率</w:t>
            </w:r>
            <w:r>
              <w:rPr>
                <w:rFonts w:ascii="Times New Roman" w:hAnsi="Times New Roman" w:cs="Times New Roman"/>
                <w:color w:val="000000"/>
                <w:sz w:val="24"/>
                <w:szCs w:val="24"/>
              </w:rPr>
              <w:t>2019</w:t>
            </w:r>
            <w:r>
              <w:rPr>
                <w:rFonts w:hint="eastAsia" w:ascii="Times New Roman" w:hAnsi="Times New Roman" w:cs="宋体"/>
                <w:color w:val="000000"/>
                <w:sz w:val="24"/>
                <w:szCs w:val="24"/>
              </w:rPr>
              <w:t>年不低于</w:t>
            </w:r>
            <w:r>
              <w:rPr>
                <w:rFonts w:ascii="Times New Roman" w:hAnsi="Times New Roman" w:cs="Times New Roman"/>
                <w:color w:val="000000"/>
                <w:sz w:val="24"/>
                <w:szCs w:val="24"/>
              </w:rPr>
              <w:t>50%</w:t>
            </w:r>
            <w:r>
              <w:rPr>
                <w:rFonts w:hint="eastAsia" w:ascii="Times New Roman" w:hAnsi="Times New Roman" w:cs="宋体"/>
                <w:color w:val="000000"/>
                <w:sz w:val="24"/>
                <w:szCs w:val="24"/>
              </w:rPr>
              <w:t>。</w:t>
            </w:r>
          </w:p>
        </w:tc>
        <w:tc>
          <w:tcPr>
            <w:tcW w:w="941" w:type="dxa"/>
            <w:vAlign w:val="center"/>
          </w:tcPr>
          <w:p>
            <w:pPr>
              <w:spacing w:line="400" w:lineRule="exact"/>
              <w:jc w:val="center"/>
              <w:rPr>
                <w:rFonts w:ascii="Times New Roman" w:hAnsi="Times New Roman" w:cs="Times New Roman"/>
                <w:color w:val="000000"/>
                <w:sz w:val="24"/>
                <w:szCs w:val="24"/>
              </w:rPr>
            </w:pPr>
            <w:r>
              <w:rPr>
                <w:rFonts w:ascii="Times New Roman" w:hAnsi="Times New Roman" w:cs="Times New Roman"/>
                <w:color w:val="000000"/>
                <w:sz w:val="24"/>
                <w:szCs w:val="24"/>
              </w:rPr>
              <w:t>6</w:t>
            </w:r>
            <w:r>
              <w:rPr>
                <w:rFonts w:hint="eastAsia" w:ascii="Times New Roman" w:hAnsi="Times New Roman" w:cs="宋体"/>
                <w:color w:val="000000"/>
                <w:sz w:val="24"/>
                <w:szCs w:val="24"/>
              </w:rPr>
              <w:t>分</w:t>
            </w:r>
          </w:p>
        </w:tc>
      </w:tr>
    </w:tbl>
    <w:p>
      <w:pPr>
        <w:spacing w:line="580" w:lineRule="exact"/>
        <w:ind w:firstLine="640" w:firstLineChars="200"/>
        <w:rPr>
          <w:rFonts w:ascii="Times New Roman" w:hAnsi="Times New Roman" w:eastAsia="仿宋" w:cs="Times New Roman"/>
          <w:color w:val="000000"/>
          <w:sz w:val="32"/>
          <w:szCs w:val="32"/>
        </w:rPr>
      </w:pPr>
      <w:r>
        <w:rPr>
          <w:rFonts w:hint="eastAsia" w:ascii="Times New Roman" w:hAnsi="Times New Roman" w:eastAsia="仿宋" w:cs="仿宋"/>
          <w:color w:val="000000"/>
          <w:sz w:val="32"/>
          <w:szCs w:val="32"/>
        </w:rPr>
        <w:t>本项指标从城乡低保救助水平、特困人员基本生活标准和照料护理标准、生活不能自理特困人员集中供养率等方面进行评估。目标值的确定依据主要是《社会救助暂行办法》、《湖南省人民政府关于贯彻落实</w:t>
      </w:r>
      <w:r>
        <w:rPr>
          <w:rFonts w:ascii="Times New Roman" w:hAnsi="Times New Roman" w:eastAsia="仿宋" w:cs="Times New Roman"/>
          <w:color w:val="000000"/>
          <w:sz w:val="32"/>
          <w:szCs w:val="32"/>
        </w:rPr>
        <w:t>&lt;</w:t>
      </w:r>
      <w:r>
        <w:rPr>
          <w:rFonts w:hint="eastAsia" w:ascii="Times New Roman" w:hAnsi="Times New Roman" w:eastAsia="仿宋" w:cs="仿宋"/>
          <w:color w:val="000000"/>
          <w:sz w:val="32"/>
          <w:szCs w:val="32"/>
        </w:rPr>
        <w:t>社会救助暂行办法</w:t>
      </w:r>
      <w:r>
        <w:rPr>
          <w:rFonts w:ascii="Times New Roman" w:hAnsi="Times New Roman" w:eastAsia="仿宋" w:cs="Times New Roman"/>
          <w:color w:val="000000"/>
          <w:sz w:val="32"/>
          <w:szCs w:val="32"/>
        </w:rPr>
        <w:t>&gt;</w:t>
      </w:r>
      <w:r>
        <w:rPr>
          <w:rFonts w:hint="eastAsia" w:ascii="Times New Roman" w:hAnsi="Times New Roman" w:eastAsia="仿宋" w:cs="仿宋"/>
          <w:color w:val="000000"/>
          <w:sz w:val="32"/>
          <w:szCs w:val="32"/>
        </w:rPr>
        <w:t>的实施意见》、《湖南省</w:t>
      </w:r>
      <w:r>
        <w:rPr>
          <w:rFonts w:ascii="Times New Roman" w:hAnsi="Times New Roman" w:eastAsia="仿宋" w:cs="Times New Roman"/>
          <w:color w:val="000000"/>
          <w:sz w:val="32"/>
          <w:szCs w:val="32"/>
        </w:rPr>
        <w:t xml:space="preserve"> “</w:t>
      </w:r>
      <w:r>
        <w:rPr>
          <w:rFonts w:hint="eastAsia" w:ascii="Times New Roman" w:hAnsi="Times New Roman" w:eastAsia="仿宋" w:cs="仿宋"/>
          <w:color w:val="000000"/>
          <w:sz w:val="32"/>
          <w:szCs w:val="32"/>
        </w:rPr>
        <w:t>十三五</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民政事业发展规划》等法规政策。</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城乡低保标准和救助水平均不低于年度全国平均水平</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占</w:t>
      </w:r>
      <w:r>
        <w:rPr>
          <w:rFonts w:ascii="Times New Roman" w:hAnsi="Times New Roman" w:eastAsia="仿宋" w:cs="Times New Roman"/>
          <w:color w:val="000000"/>
          <w:sz w:val="32"/>
          <w:szCs w:val="32"/>
        </w:rPr>
        <w:t>3</w:t>
      </w:r>
      <w:r>
        <w:rPr>
          <w:rFonts w:hint="eastAsia" w:ascii="Times New Roman" w:hAnsi="Times New Roman" w:eastAsia="仿宋" w:cs="仿宋"/>
          <w:color w:val="000000"/>
          <w:sz w:val="32"/>
          <w:szCs w:val="32"/>
        </w:rPr>
        <w:t>分，评估方式主要是根据省社会救助信息管理系统中统计数据和相关财务台账，并结合现场抽样核实情况进行评估，城市低保标准低于全国平均水平（</w:t>
      </w:r>
      <w:r>
        <w:rPr>
          <w:rFonts w:ascii="Times New Roman" w:hAnsi="Times New Roman" w:eastAsia="仿宋" w:cs="Times New Roman"/>
          <w:color w:val="000000"/>
          <w:sz w:val="32"/>
          <w:szCs w:val="32"/>
        </w:rPr>
        <w:t>575</w:t>
      </w:r>
      <w:r>
        <w:rPr>
          <w:rFonts w:hint="eastAsia" w:ascii="Times New Roman" w:hAnsi="Times New Roman" w:eastAsia="仿宋" w:cs="仿宋"/>
          <w:color w:val="000000"/>
          <w:sz w:val="32"/>
          <w:szCs w:val="32"/>
        </w:rPr>
        <w:t>元</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月）或城市低保救助水平低于全国平均水平（</w:t>
      </w:r>
      <w:r>
        <w:rPr>
          <w:rFonts w:ascii="Times New Roman" w:hAnsi="Times New Roman" w:eastAsia="仿宋" w:cs="Times New Roman"/>
          <w:color w:val="000000"/>
          <w:sz w:val="32"/>
          <w:szCs w:val="32"/>
        </w:rPr>
        <w:t>390</w:t>
      </w:r>
      <w:r>
        <w:rPr>
          <w:rFonts w:hint="eastAsia" w:ascii="Times New Roman" w:hAnsi="Times New Roman" w:eastAsia="仿宋" w:cs="仿宋"/>
          <w:color w:val="000000"/>
          <w:sz w:val="32"/>
          <w:szCs w:val="32"/>
        </w:rPr>
        <w:t>元</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月）扣</w:t>
      </w:r>
      <w:r>
        <w:rPr>
          <w:rFonts w:ascii="Times New Roman" w:hAnsi="Times New Roman" w:eastAsia="仿宋" w:cs="Times New Roman"/>
          <w:color w:val="000000"/>
          <w:sz w:val="32"/>
          <w:szCs w:val="32"/>
        </w:rPr>
        <w:t>1.5</w:t>
      </w:r>
      <w:r>
        <w:rPr>
          <w:rFonts w:hint="eastAsia" w:ascii="Times New Roman" w:hAnsi="Times New Roman" w:eastAsia="仿宋" w:cs="仿宋"/>
          <w:color w:val="000000"/>
          <w:sz w:val="32"/>
          <w:szCs w:val="32"/>
        </w:rPr>
        <w:t>分；农村低保标准低于全国平均水平（</w:t>
      </w:r>
      <w:r>
        <w:rPr>
          <w:rFonts w:ascii="Times New Roman" w:hAnsi="Times New Roman" w:eastAsia="仿宋" w:cs="Times New Roman"/>
          <w:color w:val="000000"/>
          <w:sz w:val="32"/>
          <w:szCs w:val="32"/>
        </w:rPr>
        <w:t>4754</w:t>
      </w:r>
      <w:r>
        <w:rPr>
          <w:rFonts w:hint="eastAsia" w:ascii="Times New Roman" w:hAnsi="Times New Roman" w:eastAsia="仿宋" w:cs="仿宋"/>
          <w:color w:val="000000"/>
          <w:sz w:val="32"/>
          <w:szCs w:val="32"/>
        </w:rPr>
        <w:t>元</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年）或农村低保救助水平低于全国平均水平（</w:t>
      </w:r>
      <w:r>
        <w:rPr>
          <w:rFonts w:ascii="Times New Roman" w:hAnsi="Times New Roman" w:eastAsia="仿宋" w:cs="Times New Roman"/>
          <w:color w:val="000000"/>
          <w:sz w:val="32"/>
          <w:szCs w:val="32"/>
        </w:rPr>
        <w:t>219</w:t>
      </w:r>
      <w:r>
        <w:rPr>
          <w:rFonts w:hint="eastAsia" w:ascii="Times New Roman" w:hAnsi="Times New Roman" w:eastAsia="仿宋" w:cs="仿宋"/>
          <w:color w:val="000000"/>
          <w:sz w:val="32"/>
          <w:szCs w:val="32"/>
        </w:rPr>
        <w:t>元</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月）扣</w:t>
      </w:r>
      <w:r>
        <w:rPr>
          <w:rFonts w:ascii="Times New Roman" w:hAnsi="Times New Roman" w:eastAsia="仿宋" w:cs="Times New Roman"/>
          <w:color w:val="000000"/>
          <w:sz w:val="32"/>
          <w:szCs w:val="32"/>
        </w:rPr>
        <w:t>1.5</w:t>
      </w:r>
      <w:r>
        <w:rPr>
          <w:rFonts w:hint="eastAsia" w:ascii="Times New Roman" w:hAnsi="Times New Roman" w:eastAsia="仿宋" w:cs="仿宋"/>
          <w:color w:val="000000"/>
          <w:sz w:val="32"/>
          <w:szCs w:val="32"/>
        </w:rPr>
        <w:t>分。</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城乡特困人员基本生活标准分别不低于当地当年城乡低保标准的</w:t>
      </w:r>
      <w:r>
        <w:rPr>
          <w:rFonts w:ascii="Times New Roman" w:hAnsi="Times New Roman" w:eastAsia="仿宋" w:cs="Times New Roman"/>
          <w:color w:val="000000"/>
          <w:sz w:val="32"/>
          <w:szCs w:val="32"/>
        </w:rPr>
        <w:t>1.3</w:t>
      </w:r>
      <w:r>
        <w:rPr>
          <w:rFonts w:hint="eastAsia" w:ascii="Times New Roman" w:hAnsi="Times New Roman" w:eastAsia="仿宋" w:cs="仿宋"/>
          <w:color w:val="000000"/>
          <w:sz w:val="32"/>
          <w:szCs w:val="32"/>
        </w:rPr>
        <w:t>倍</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占</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分，评估方式为查看文件规定并现场核实资金发放存折进行评估，未达标的扣</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制定城乡特困人员分级分类照料护理标准、安排照料护理经费并严格落实</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占</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分，评估方式为查看出台规定特困人员分级分类照料护理标准的文件、资金预算文件、资金发放情况、照料护理协议并现场核实进行评估，未达标扣</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生活不能自理特困人员集中供养率</w:t>
      </w:r>
      <w:r>
        <w:rPr>
          <w:rFonts w:ascii="Times New Roman" w:hAnsi="Times New Roman" w:eastAsia="仿宋" w:cs="Times New Roman"/>
          <w:color w:val="000000"/>
          <w:sz w:val="32"/>
          <w:szCs w:val="32"/>
        </w:rPr>
        <w:t>2019</w:t>
      </w:r>
      <w:r>
        <w:rPr>
          <w:rFonts w:hint="eastAsia" w:ascii="Times New Roman" w:hAnsi="Times New Roman" w:eastAsia="仿宋" w:cs="仿宋"/>
          <w:color w:val="000000"/>
          <w:sz w:val="32"/>
          <w:szCs w:val="32"/>
        </w:rPr>
        <w:t>年不低于</w:t>
      </w:r>
      <w:r>
        <w:rPr>
          <w:rFonts w:ascii="Times New Roman" w:hAnsi="Times New Roman" w:eastAsia="仿宋" w:cs="Times New Roman"/>
          <w:color w:val="000000"/>
          <w:sz w:val="32"/>
          <w:szCs w:val="32"/>
        </w:rPr>
        <w:t>50%”</w:t>
      </w:r>
      <w:r>
        <w:rPr>
          <w:rFonts w:hint="eastAsia" w:ascii="Times New Roman" w:hAnsi="Times New Roman" w:eastAsia="仿宋" w:cs="仿宋"/>
          <w:color w:val="000000"/>
          <w:sz w:val="32"/>
          <w:szCs w:val="32"/>
        </w:rPr>
        <w:t>占</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分，评估方式主要是根据被评估县市区在省社会救助信息系统中录入的生活不能自理特困人员人数和生活不能自理特困人员集中供养人数，并结合现场抽样核实情况确定，每少一个百分点扣</w:t>
      </w:r>
      <w:r>
        <w:rPr>
          <w:rFonts w:ascii="Times New Roman" w:hAnsi="Times New Roman" w:eastAsia="仿宋" w:cs="Times New Roman"/>
          <w:color w:val="000000"/>
          <w:sz w:val="32"/>
          <w:szCs w:val="32"/>
        </w:rPr>
        <w:t>0.2</w:t>
      </w:r>
      <w:r>
        <w:rPr>
          <w:rFonts w:hint="eastAsia" w:ascii="Times New Roman" w:hAnsi="Times New Roman" w:eastAsia="仿宋" w:cs="仿宋"/>
          <w:color w:val="000000"/>
          <w:sz w:val="32"/>
          <w:szCs w:val="32"/>
        </w:rPr>
        <w:t>分，扣完</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分为止。</w:t>
      </w:r>
    </w:p>
    <w:tbl>
      <w:tblPr>
        <w:tblStyle w:val="7"/>
        <w:tblW w:w="879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96"/>
        <w:gridCol w:w="6220"/>
        <w:gridCol w:w="11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66" w:hRule="atLeast"/>
          <w:jc w:val="center"/>
        </w:trPr>
        <w:tc>
          <w:tcPr>
            <w:tcW w:w="1396" w:type="dxa"/>
            <w:vAlign w:val="center"/>
          </w:tcPr>
          <w:p>
            <w:pPr>
              <w:spacing w:line="400" w:lineRule="exact"/>
              <w:jc w:val="center"/>
              <w:rPr>
                <w:rFonts w:ascii="Times New Roman" w:hAnsi="Times New Roman" w:cs="Times New Roman"/>
                <w:color w:val="000000"/>
                <w:sz w:val="24"/>
                <w:szCs w:val="24"/>
              </w:rPr>
            </w:pPr>
            <w:r>
              <w:rPr>
                <w:rFonts w:hint="eastAsia" w:ascii="Times New Roman" w:hAnsi="Times New Roman" w:cs="宋体"/>
                <w:color w:val="000000"/>
                <w:sz w:val="24"/>
                <w:szCs w:val="24"/>
              </w:rPr>
              <w:t>（四）</w:t>
            </w:r>
          </w:p>
        </w:tc>
        <w:tc>
          <w:tcPr>
            <w:tcW w:w="6220" w:type="dxa"/>
            <w:vAlign w:val="center"/>
          </w:tcPr>
          <w:p>
            <w:pPr>
              <w:spacing w:line="400" w:lineRule="exact"/>
              <w:rPr>
                <w:rFonts w:ascii="Times New Roman" w:hAnsi="Times New Roman" w:cs="Times New Roman"/>
                <w:color w:val="000000"/>
                <w:sz w:val="24"/>
                <w:szCs w:val="24"/>
              </w:rPr>
            </w:pPr>
            <w:r>
              <w:rPr>
                <w:rFonts w:hint="eastAsia" w:ascii="Times New Roman" w:hAnsi="Times New Roman" w:cs="宋体"/>
                <w:color w:val="000000"/>
                <w:sz w:val="24"/>
                <w:szCs w:val="24"/>
              </w:rPr>
              <w:t>每千名老人拥有养老床位达到</w:t>
            </w:r>
            <w:r>
              <w:rPr>
                <w:rFonts w:ascii="Times New Roman" w:hAnsi="Times New Roman" w:cs="Times New Roman"/>
                <w:color w:val="000000"/>
                <w:sz w:val="24"/>
                <w:szCs w:val="24"/>
              </w:rPr>
              <w:t>36.5</w:t>
            </w:r>
            <w:r>
              <w:rPr>
                <w:rFonts w:hint="eastAsia" w:ascii="Times New Roman" w:hAnsi="Times New Roman" w:cs="宋体"/>
                <w:color w:val="000000"/>
                <w:sz w:val="24"/>
                <w:szCs w:val="24"/>
              </w:rPr>
              <w:t>张以上，且养老床位利用率不低于</w:t>
            </w:r>
            <w:r>
              <w:rPr>
                <w:rFonts w:ascii="Times New Roman" w:hAnsi="Times New Roman" w:cs="Times New Roman"/>
                <w:color w:val="000000"/>
                <w:sz w:val="24"/>
                <w:szCs w:val="24"/>
              </w:rPr>
              <w:t>80%</w:t>
            </w:r>
            <w:r>
              <w:rPr>
                <w:rFonts w:hint="eastAsia" w:ascii="Times New Roman" w:hAnsi="Times New Roman" w:cs="宋体"/>
                <w:color w:val="000000"/>
                <w:sz w:val="24"/>
                <w:szCs w:val="24"/>
              </w:rPr>
              <w:t>；建有县级福利院、</w:t>
            </w:r>
            <w:r>
              <w:rPr>
                <w:rFonts w:ascii="Times New Roman" w:hAnsi="Times New Roman" w:cs="Times New Roman"/>
                <w:color w:val="000000"/>
                <w:sz w:val="24"/>
                <w:szCs w:val="24"/>
              </w:rPr>
              <w:t>1</w:t>
            </w:r>
            <w:r>
              <w:rPr>
                <w:rFonts w:hint="eastAsia" w:ascii="Times New Roman" w:hAnsi="Times New Roman" w:cs="宋体"/>
                <w:color w:val="000000"/>
                <w:sz w:val="24"/>
                <w:szCs w:val="24"/>
              </w:rPr>
              <w:t>个以上区域性中心敬老院；城乡社区养老服务设施覆盖率分别达到</w:t>
            </w:r>
            <w:r>
              <w:rPr>
                <w:rFonts w:ascii="Times New Roman" w:hAnsi="Times New Roman" w:cs="Times New Roman"/>
                <w:color w:val="000000"/>
                <w:sz w:val="24"/>
                <w:szCs w:val="24"/>
              </w:rPr>
              <w:t>95%</w:t>
            </w:r>
            <w:r>
              <w:rPr>
                <w:rFonts w:hint="eastAsia" w:ascii="Times New Roman" w:hAnsi="Times New Roman" w:cs="宋体"/>
                <w:color w:val="000000"/>
                <w:sz w:val="24"/>
                <w:szCs w:val="24"/>
              </w:rPr>
              <w:t>和</w:t>
            </w:r>
            <w:r>
              <w:rPr>
                <w:rFonts w:ascii="Times New Roman" w:hAnsi="Times New Roman" w:cs="Times New Roman"/>
                <w:color w:val="000000"/>
                <w:sz w:val="24"/>
                <w:szCs w:val="24"/>
              </w:rPr>
              <w:t>60%</w:t>
            </w:r>
            <w:r>
              <w:rPr>
                <w:rFonts w:hint="eastAsia" w:ascii="Times New Roman" w:hAnsi="Times New Roman" w:cs="宋体"/>
                <w:color w:val="000000"/>
                <w:sz w:val="24"/>
                <w:szCs w:val="24"/>
              </w:rPr>
              <w:t>，且养老服务设施能持续发挥作用；</w:t>
            </w:r>
            <w:r>
              <w:rPr>
                <w:rFonts w:ascii="Times New Roman" w:hAnsi="Times New Roman" w:cs="Times New Roman"/>
                <w:color w:val="000000"/>
                <w:sz w:val="24"/>
                <w:szCs w:val="24"/>
              </w:rPr>
              <w:t>90%</w:t>
            </w:r>
            <w:r>
              <w:rPr>
                <w:rFonts w:hint="eastAsia" w:ascii="Times New Roman" w:hAnsi="Times New Roman" w:cs="宋体"/>
                <w:color w:val="000000"/>
                <w:sz w:val="24"/>
                <w:szCs w:val="24"/>
              </w:rPr>
              <w:t>以上养老院能够以不同形式为入住老年人提供医疗卫生服务，养老院护理型床位占比达到</w:t>
            </w:r>
            <w:r>
              <w:rPr>
                <w:rFonts w:ascii="Times New Roman" w:hAnsi="Times New Roman" w:cs="Times New Roman"/>
                <w:color w:val="000000"/>
                <w:sz w:val="24"/>
                <w:szCs w:val="24"/>
              </w:rPr>
              <w:t>30%</w:t>
            </w:r>
            <w:r>
              <w:rPr>
                <w:rFonts w:hint="eastAsia" w:ascii="Times New Roman" w:hAnsi="Times New Roman" w:cs="宋体"/>
                <w:color w:val="000000"/>
                <w:sz w:val="24"/>
                <w:szCs w:val="24"/>
              </w:rPr>
              <w:t>以上。</w:t>
            </w:r>
          </w:p>
        </w:tc>
        <w:tc>
          <w:tcPr>
            <w:tcW w:w="1182" w:type="dxa"/>
            <w:vAlign w:val="center"/>
          </w:tcPr>
          <w:p>
            <w:pPr>
              <w:spacing w:line="400" w:lineRule="exact"/>
              <w:jc w:val="center"/>
              <w:rPr>
                <w:rFonts w:ascii="Times New Roman" w:hAnsi="Times New Roman" w:cs="Times New Roman"/>
                <w:color w:val="000000"/>
                <w:sz w:val="24"/>
                <w:szCs w:val="24"/>
              </w:rPr>
            </w:pPr>
            <w:r>
              <w:rPr>
                <w:rFonts w:ascii="Times New Roman" w:hAnsi="Times New Roman" w:cs="Times New Roman"/>
                <w:color w:val="000000"/>
                <w:sz w:val="24"/>
                <w:szCs w:val="24"/>
              </w:rPr>
              <w:t>7</w:t>
            </w:r>
            <w:r>
              <w:rPr>
                <w:rFonts w:hint="eastAsia" w:ascii="Times New Roman" w:hAnsi="Times New Roman" w:cs="宋体"/>
                <w:color w:val="000000"/>
                <w:sz w:val="24"/>
                <w:szCs w:val="24"/>
              </w:rPr>
              <w:t>分</w:t>
            </w:r>
          </w:p>
        </w:tc>
      </w:tr>
    </w:tbl>
    <w:p>
      <w:pPr>
        <w:spacing w:line="580" w:lineRule="exact"/>
        <w:ind w:firstLine="640" w:firstLineChars="200"/>
        <w:rPr>
          <w:rFonts w:ascii="Times New Roman" w:hAnsi="Times New Roman" w:eastAsia="仿宋" w:cs="Times New Roman"/>
          <w:color w:val="000000"/>
          <w:sz w:val="32"/>
          <w:szCs w:val="32"/>
        </w:rPr>
      </w:pPr>
      <w:r>
        <w:rPr>
          <w:rFonts w:hint="eastAsia" w:ascii="Times New Roman" w:hAnsi="Times New Roman" w:eastAsia="仿宋" w:cs="仿宋"/>
          <w:color w:val="000000"/>
          <w:sz w:val="32"/>
          <w:szCs w:val="32"/>
        </w:rPr>
        <w:t>本项指标从养老服务体系方面进行评估。目标值的确定依据主要是《民政事业发展第十三个五年规划》、《</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十三五</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国家老龄事业发展和养老体系建设规划》、《湖南省</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十三五</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民政事业发展规划》、《湖南省人民政府关于加快推进养老服务业发展的实施意见》、《湖南省人民政府办公厅关于推进医疗卫生与养老服务相结合的实施意见》、《省老龄委、省民政厅关于建立湖南省基本养老服务补贴制度的实施意见》等政策文件。</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每千名老人拥有养老床位</w:t>
      </w:r>
      <w:r>
        <w:rPr>
          <w:rFonts w:ascii="Times New Roman" w:hAnsi="Times New Roman" w:eastAsia="仿宋" w:cs="Times New Roman"/>
          <w:color w:val="000000"/>
          <w:sz w:val="32"/>
          <w:szCs w:val="32"/>
        </w:rPr>
        <w:t>2019</w:t>
      </w:r>
      <w:r>
        <w:rPr>
          <w:rFonts w:hint="eastAsia" w:ascii="Times New Roman" w:hAnsi="Times New Roman" w:eastAsia="仿宋" w:cs="仿宋"/>
          <w:color w:val="000000"/>
          <w:sz w:val="32"/>
          <w:szCs w:val="32"/>
        </w:rPr>
        <w:t>年达到</w:t>
      </w:r>
      <w:r>
        <w:rPr>
          <w:rFonts w:ascii="Times New Roman" w:hAnsi="Times New Roman" w:eastAsia="仿宋" w:cs="Times New Roman"/>
          <w:color w:val="000000"/>
          <w:sz w:val="32"/>
          <w:szCs w:val="32"/>
        </w:rPr>
        <w:t>36.5</w:t>
      </w:r>
      <w:r>
        <w:rPr>
          <w:rFonts w:hint="eastAsia" w:ascii="Times New Roman" w:hAnsi="Times New Roman" w:eastAsia="仿宋" w:cs="仿宋"/>
          <w:color w:val="000000"/>
          <w:sz w:val="32"/>
          <w:szCs w:val="32"/>
        </w:rPr>
        <w:t>张</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占</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分，评估方式为查阅县市区养老床位数和门户网站公布的老年人口总数等统计资料，指标计算公式为辖区内养老床位数</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老年人口数</w:t>
      </w:r>
      <w:r>
        <w:rPr>
          <w:rFonts w:ascii="Times New Roman" w:hAnsi="Times New Roman" w:eastAsia="仿宋" w:cs="Times New Roman"/>
          <w:color w:val="000000"/>
          <w:sz w:val="32"/>
          <w:szCs w:val="32"/>
        </w:rPr>
        <w:t>×1000</w:t>
      </w:r>
      <w:r>
        <w:rPr>
          <w:rFonts w:hint="eastAsia" w:ascii="Times New Roman" w:hAnsi="Times New Roman" w:eastAsia="仿宋" w:cs="仿宋"/>
          <w:color w:val="000000"/>
          <w:sz w:val="32"/>
          <w:szCs w:val="32"/>
        </w:rPr>
        <w:t>，每少</w:t>
      </w:r>
      <w:r>
        <w:rPr>
          <w:rFonts w:ascii="Times New Roman" w:hAnsi="Times New Roman" w:eastAsia="仿宋" w:cs="Times New Roman"/>
          <w:color w:val="000000"/>
          <w:sz w:val="32"/>
          <w:szCs w:val="32"/>
        </w:rPr>
        <w:t>0.1</w:t>
      </w:r>
      <w:r>
        <w:rPr>
          <w:rFonts w:hint="eastAsia" w:ascii="Times New Roman" w:hAnsi="Times New Roman" w:eastAsia="仿宋" w:cs="仿宋"/>
          <w:color w:val="000000"/>
          <w:sz w:val="32"/>
          <w:szCs w:val="32"/>
        </w:rPr>
        <w:t>张扣</w:t>
      </w:r>
      <w:r>
        <w:rPr>
          <w:rFonts w:ascii="Times New Roman" w:hAnsi="Times New Roman" w:eastAsia="仿宋" w:cs="Times New Roman"/>
          <w:color w:val="000000"/>
          <w:sz w:val="32"/>
          <w:szCs w:val="32"/>
        </w:rPr>
        <w:t>0.2</w:t>
      </w:r>
      <w:r>
        <w:rPr>
          <w:rFonts w:hint="eastAsia" w:ascii="Times New Roman" w:hAnsi="Times New Roman" w:eastAsia="仿宋" w:cs="仿宋"/>
          <w:color w:val="000000"/>
          <w:sz w:val="32"/>
          <w:szCs w:val="32"/>
        </w:rPr>
        <w:t>分，扣完</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分为止。</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养老床位利用率</w:t>
      </w:r>
      <w:r>
        <w:rPr>
          <w:rFonts w:ascii="Times New Roman" w:hAnsi="Times New Roman" w:eastAsia="仿宋" w:cs="Times New Roman"/>
          <w:color w:val="000000"/>
          <w:sz w:val="32"/>
          <w:szCs w:val="32"/>
        </w:rPr>
        <w:t>80%</w:t>
      </w:r>
      <w:r>
        <w:rPr>
          <w:rFonts w:hint="eastAsia" w:ascii="Times New Roman" w:hAnsi="Times New Roman" w:eastAsia="仿宋" w:cs="仿宋"/>
          <w:color w:val="000000"/>
          <w:sz w:val="32"/>
          <w:szCs w:val="32"/>
        </w:rPr>
        <w:t>以上</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占</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分，评估方式为现场查阅县市区养老机构床位使用情况统计资料并抽查核实，计算公式为入住养老机构人数</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辖区内养老机构床位数</w:t>
      </w:r>
      <w:r>
        <w:rPr>
          <w:rFonts w:ascii="Times New Roman" w:hAnsi="Times New Roman" w:eastAsia="仿宋" w:cs="Times New Roman"/>
          <w:color w:val="000000"/>
          <w:sz w:val="32"/>
          <w:szCs w:val="32"/>
        </w:rPr>
        <w:t>×100%</w:t>
      </w:r>
      <w:r>
        <w:rPr>
          <w:rFonts w:hint="eastAsia" w:ascii="Times New Roman" w:hAnsi="Times New Roman" w:eastAsia="仿宋" w:cs="仿宋"/>
          <w:color w:val="000000"/>
          <w:sz w:val="32"/>
          <w:szCs w:val="32"/>
        </w:rPr>
        <w:t>，每少</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扣</w:t>
      </w:r>
      <w:r>
        <w:rPr>
          <w:rFonts w:ascii="Times New Roman" w:hAnsi="Times New Roman" w:eastAsia="仿宋" w:cs="Times New Roman"/>
          <w:color w:val="000000"/>
          <w:sz w:val="32"/>
          <w:szCs w:val="32"/>
        </w:rPr>
        <w:t>0.1</w:t>
      </w:r>
      <w:r>
        <w:rPr>
          <w:rFonts w:hint="eastAsia" w:ascii="Times New Roman" w:hAnsi="Times New Roman" w:eastAsia="仿宋" w:cs="仿宋"/>
          <w:color w:val="000000"/>
          <w:sz w:val="32"/>
          <w:szCs w:val="32"/>
        </w:rPr>
        <w:t>分，扣完</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分为止。县级福利院占</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分，要求县市区人口</w:t>
      </w:r>
      <w:r>
        <w:rPr>
          <w:rFonts w:ascii="Times New Roman" w:hAnsi="Times New Roman" w:eastAsia="仿宋" w:cs="Times New Roman"/>
          <w:color w:val="000000"/>
          <w:sz w:val="32"/>
          <w:szCs w:val="32"/>
        </w:rPr>
        <w:t>80-140</w:t>
      </w:r>
      <w:r>
        <w:rPr>
          <w:rFonts w:hint="eastAsia" w:ascii="Times New Roman" w:hAnsi="Times New Roman" w:eastAsia="仿宋" w:cs="仿宋"/>
          <w:color w:val="000000"/>
          <w:sz w:val="32"/>
          <w:szCs w:val="32"/>
        </w:rPr>
        <w:t>万的县级福利院床位数有</w:t>
      </w:r>
      <w:r>
        <w:rPr>
          <w:rFonts w:ascii="Times New Roman" w:hAnsi="Times New Roman" w:eastAsia="仿宋" w:cs="Times New Roman"/>
          <w:color w:val="000000"/>
          <w:sz w:val="32"/>
          <w:szCs w:val="32"/>
        </w:rPr>
        <w:t>180-300</w:t>
      </w:r>
      <w:r>
        <w:rPr>
          <w:rFonts w:hint="eastAsia" w:ascii="Times New Roman" w:hAnsi="Times New Roman" w:eastAsia="仿宋" w:cs="仿宋"/>
          <w:color w:val="000000"/>
          <w:sz w:val="32"/>
          <w:szCs w:val="32"/>
        </w:rPr>
        <w:t>张，县市区人口</w:t>
      </w:r>
      <w:r>
        <w:rPr>
          <w:rFonts w:ascii="Times New Roman" w:hAnsi="Times New Roman" w:eastAsia="仿宋" w:cs="Times New Roman"/>
          <w:color w:val="000000"/>
          <w:sz w:val="32"/>
          <w:szCs w:val="32"/>
        </w:rPr>
        <w:t>40-80</w:t>
      </w:r>
      <w:r>
        <w:rPr>
          <w:rFonts w:hint="eastAsia" w:ascii="Times New Roman" w:hAnsi="Times New Roman" w:eastAsia="仿宋" w:cs="仿宋"/>
          <w:color w:val="000000"/>
          <w:sz w:val="32"/>
          <w:szCs w:val="32"/>
        </w:rPr>
        <w:t>万的县级福利院床位数有</w:t>
      </w:r>
      <w:r>
        <w:rPr>
          <w:rFonts w:ascii="Times New Roman" w:hAnsi="Times New Roman" w:eastAsia="仿宋" w:cs="Times New Roman"/>
          <w:color w:val="000000"/>
          <w:sz w:val="32"/>
          <w:szCs w:val="32"/>
        </w:rPr>
        <w:t>90-180</w:t>
      </w:r>
      <w:r>
        <w:rPr>
          <w:rFonts w:hint="eastAsia" w:ascii="Times New Roman" w:hAnsi="Times New Roman" w:eastAsia="仿宋" w:cs="仿宋"/>
          <w:color w:val="000000"/>
          <w:sz w:val="32"/>
          <w:szCs w:val="32"/>
        </w:rPr>
        <w:t>张，县市区人口</w:t>
      </w:r>
      <w:r>
        <w:rPr>
          <w:rFonts w:ascii="Times New Roman" w:hAnsi="Times New Roman" w:eastAsia="仿宋" w:cs="Times New Roman"/>
          <w:color w:val="000000"/>
          <w:sz w:val="32"/>
          <w:szCs w:val="32"/>
        </w:rPr>
        <w:t>20-40</w:t>
      </w:r>
      <w:r>
        <w:rPr>
          <w:rFonts w:hint="eastAsia" w:ascii="Times New Roman" w:hAnsi="Times New Roman" w:eastAsia="仿宋" w:cs="仿宋"/>
          <w:color w:val="000000"/>
          <w:sz w:val="32"/>
          <w:szCs w:val="32"/>
        </w:rPr>
        <w:t>万的县级福利院床位数有</w:t>
      </w:r>
      <w:r>
        <w:rPr>
          <w:rFonts w:ascii="Times New Roman" w:hAnsi="Times New Roman" w:eastAsia="仿宋" w:cs="Times New Roman"/>
          <w:color w:val="000000"/>
          <w:sz w:val="32"/>
          <w:szCs w:val="32"/>
        </w:rPr>
        <w:t>50-90</w:t>
      </w:r>
      <w:r>
        <w:rPr>
          <w:rFonts w:hint="eastAsia" w:ascii="Times New Roman" w:hAnsi="Times New Roman" w:eastAsia="仿宋" w:cs="仿宋"/>
          <w:color w:val="000000"/>
          <w:sz w:val="32"/>
          <w:szCs w:val="32"/>
        </w:rPr>
        <w:t>张，未建的或者床位数不达标的扣</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个以上区域性中心敬老院</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占</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分，要求不少于</w:t>
      </w:r>
      <w:r>
        <w:rPr>
          <w:rFonts w:ascii="Times New Roman" w:hAnsi="Times New Roman" w:eastAsia="仿宋" w:cs="Times New Roman"/>
          <w:color w:val="000000"/>
          <w:sz w:val="32"/>
          <w:szCs w:val="32"/>
        </w:rPr>
        <w:t>150</w:t>
      </w:r>
      <w:r>
        <w:rPr>
          <w:rFonts w:hint="eastAsia" w:ascii="Times New Roman" w:hAnsi="Times New Roman" w:eastAsia="仿宋" w:cs="仿宋"/>
          <w:color w:val="000000"/>
          <w:sz w:val="32"/>
          <w:szCs w:val="32"/>
        </w:rPr>
        <w:t>张床位，其中照料护理床位不少于</w:t>
      </w:r>
      <w:r>
        <w:rPr>
          <w:rFonts w:ascii="Times New Roman" w:hAnsi="Times New Roman" w:eastAsia="仿宋" w:cs="Times New Roman"/>
          <w:color w:val="000000"/>
          <w:sz w:val="32"/>
          <w:szCs w:val="32"/>
        </w:rPr>
        <w:t>100</w:t>
      </w:r>
      <w:r>
        <w:rPr>
          <w:rFonts w:hint="eastAsia" w:ascii="Times New Roman" w:hAnsi="Times New Roman" w:eastAsia="仿宋" w:cs="仿宋"/>
          <w:color w:val="000000"/>
          <w:sz w:val="32"/>
          <w:szCs w:val="32"/>
        </w:rPr>
        <w:t>张，未建的或者床位数不达标的扣</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城乡社区养老服务设施覆盖率分别达到</w:t>
      </w:r>
      <w:r>
        <w:rPr>
          <w:rFonts w:ascii="Times New Roman" w:hAnsi="Times New Roman" w:eastAsia="仿宋" w:cs="Times New Roman"/>
          <w:color w:val="000000"/>
          <w:sz w:val="32"/>
          <w:szCs w:val="32"/>
        </w:rPr>
        <w:t>95%</w:t>
      </w:r>
      <w:r>
        <w:rPr>
          <w:rFonts w:hint="eastAsia" w:ascii="Times New Roman" w:hAnsi="Times New Roman" w:eastAsia="仿宋" w:cs="仿宋"/>
          <w:color w:val="000000"/>
          <w:sz w:val="32"/>
          <w:szCs w:val="32"/>
        </w:rPr>
        <w:t>和</w:t>
      </w:r>
      <w:r>
        <w:rPr>
          <w:rFonts w:ascii="Times New Roman" w:hAnsi="Times New Roman" w:eastAsia="仿宋" w:cs="Times New Roman"/>
          <w:color w:val="000000"/>
          <w:sz w:val="32"/>
          <w:szCs w:val="32"/>
        </w:rPr>
        <w:t>60%</w:t>
      </w:r>
      <w:r>
        <w:rPr>
          <w:rFonts w:hint="eastAsia" w:ascii="Times New Roman" w:hAnsi="Times New Roman" w:eastAsia="仿宋" w:cs="仿宋"/>
          <w:color w:val="000000"/>
          <w:sz w:val="32"/>
          <w:szCs w:val="32"/>
        </w:rPr>
        <w:t>，且养老服务设施能持续发挥作用</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占</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分，评估方式为查阅县市区拥有养老设施的社区（村）数等统计资料，现场抽查养老服务设施使用情况，指标计算公式为拥有养老设施的社区（村）数</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辖区内社区（村）数</w:t>
      </w:r>
      <w:r>
        <w:rPr>
          <w:rFonts w:ascii="Times New Roman" w:hAnsi="Times New Roman" w:eastAsia="仿宋" w:cs="Times New Roman"/>
          <w:color w:val="000000"/>
          <w:sz w:val="32"/>
          <w:szCs w:val="32"/>
        </w:rPr>
        <w:t>×100%</w:t>
      </w:r>
      <w:r>
        <w:rPr>
          <w:rFonts w:hint="eastAsia" w:ascii="Times New Roman" w:hAnsi="Times New Roman" w:eastAsia="仿宋" w:cs="仿宋"/>
          <w:color w:val="000000"/>
          <w:sz w:val="32"/>
          <w:szCs w:val="32"/>
        </w:rPr>
        <w:t>，每少</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扣</w:t>
      </w:r>
      <w:r>
        <w:rPr>
          <w:rFonts w:ascii="Times New Roman" w:hAnsi="Times New Roman" w:eastAsia="仿宋" w:cs="Times New Roman"/>
          <w:color w:val="000000"/>
          <w:sz w:val="32"/>
          <w:szCs w:val="32"/>
        </w:rPr>
        <w:t>0.1</w:t>
      </w:r>
      <w:r>
        <w:rPr>
          <w:rFonts w:hint="eastAsia" w:ascii="Times New Roman" w:hAnsi="Times New Roman" w:eastAsia="仿宋" w:cs="仿宋"/>
          <w:color w:val="000000"/>
          <w:sz w:val="32"/>
          <w:szCs w:val="32"/>
        </w:rPr>
        <w:t>分，发现一个养老服务设施未持续正常发挥作用的扣</w:t>
      </w:r>
      <w:r>
        <w:rPr>
          <w:rFonts w:ascii="Times New Roman" w:hAnsi="Times New Roman" w:eastAsia="仿宋" w:cs="Times New Roman"/>
          <w:color w:val="000000"/>
          <w:sz w:val="32"/>
          <w:szCs w:val="32"/>
        </w:rPr>
        <w:t>0.1</w:t>
      </w:r>
      <w:r>
        <w:rPr>
          <w:rFonts w:hint="eastAsia" w:ascii="Times New Roman" w:hAnsi="Times New Roman" w:eastAsia="仿宋" w:cs="仿宋"/>
          <w:color w:val="000000"/>
          <w:sz w:val="32"/>
          <w:szCs w:val="32"/>
        </w:rPr>
        <w:t>分，扣完</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分为止。</w:t>
      </w:r>
      <w:r>
        <w:rPr>
          <w:rFonts w:ascii="Times New Roman" w:hAnsi="Times New Roman" w:eastAsia="仿宋" w:cs="Times New Roman"/>
          <w:color w:val="000000"/>
          <w:sz w:val="32"/>
          <w:szCs w:val="32"/>
        </w:rPr>
        <w:t>“90%</w:t>
      </w:r>
      <w:r>
        <w:rPr>
          <w:rFonts w:hint="eastAsia" w:ascii="Times New Roman" w:hAnsi="Times New Roman" w:eastAsia="仿宋" w:cs="仿宋"/>
          <w:color w:val="000000"/>
          <w:sz w:val="32"/>
          <w:szCs w:val="32"/>
        </w:rPr>
        <w:t>以上养老院能够以不同形式为入住老年人提供医疗卫生服务，养老院护理型床位占比达到</w:t>
      </w:r>
      <w:r>
        <w:rPr>
          <w:rFonts w:ascii="Times New Roman" w:hAnsi="Times New Roman" w:eastAsia="仿宋" w:cs="Times New Roman"/>
          <w:color w:val="000000"/>
          <w:sz w:val="32"/>
          <w:szCs w:val="32"/>
        </w:rPr>
        <w:t>30%</w:t>
      </w:r>
      <w:r>
        <w:rPr>
          <w:rFonts w:hint="eastAsia" w:ascii="Times New Roman" w:hAnsi="Times New Roman" w:eastAsia="仿宋" w:cs="仿宋"/>
          <w:color w:val="000000"/>
          <w:sz w:val="32"/>
          <w:szCs w:val="32"/>
        </w:rPr>
        <w:t>以上</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占</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评估方式是查阅养老机构中设立医疗机构的审批文件或与医疗卫生机构的合作协议等资料并抽查核实，被评估县市区有医疗卫生服务能力（含建立医疗卫生机构、与医疗卫生机构达成合作协议、在附近医疗卫生机构开辟绿色通道等形式）的养老机构的占比，计算公式为：有医疗卫生服务能力的养老机构</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养老机构总数</w:t>
      </w:r>
      <w:r>
        <w:rPr>
          <w:rFonts w:ascii="Times New Roman" w:hAnsi="Times New Roman" w:eastAsia="仿宋" w:cs="Times New Roman"/>
          <w:color w:val="000000"/>
          <w:sz w:val="32"/>
          <w:szCs w:val="32"/>
        </w:rPr>
        <w:t>×100%</w:t>
      </w:r>
      <w:r>
        <w:rPr>
          <w:rFonts w:hint="eastAsia" w:ascii="Times New Roman" w:hAnsi="Times New Roman" w:eastAsia="仿宋" w:cs="仿宋"/>
          <w:color w:val="000000"/>
          <w:sz w:val="32"/>
          <w:szCs w:val="32"/>
        </w:rPr>
        <w:t>，每少</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扣</w:t>
      </w:r>
      <w:r>
        <w:rPr>
          <w:rFonts w:ascii="Times New Roman" w:hAnsi="Times New Roman" w:eastAsia="仿宋" w:cs="Times New Roman"/>
          <w:color w:val="000000"/>
          <w:sz w:val="32"/>
          <w:szCs w:val="32"/>
        </w:rPr>
        <w:t>0.1</w:t>
      </w:r>
      <w:r>
        <w:rPr>
          <w:rFonts w:hint="eastAsia" w:ascii="Times New Roman" w:hAnsi="Times New Roman" w:eastAsia="仿宋" w:cs="仿宋"/>
          <w:color w:val="000000"/>
          <w:sz w:val="32"/>
          <w:szCs w:val="32"/>
        </w:rPr>
        <w:t>分，扣完</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分为止。</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养老院护理型床位占比达到</w:t>
      </w:r>
      <w:r>
        <w:rPr>
          <w:rFonts w:ascii="Times New Roman" w:hAnsi="Times New Roman" w:eastAsia="仿宋" w:cs="Times New Roman"/>
          <w:color w:val="000000"/>
          <w:sz w:val="32"/>
          <w:szCs w:val="32"/>
        </w:rPr>
        <w:t>30%</w:t>
      </w:r>
      <w:r>
        <w:rPr>
          <w:rFonts w:hint="eastAsia" w:ascii="Times New Roman" w:hAnsi="Times New Roman" w:eastAsia="仿宋" w:cs="仿宋"/>
          <w:color w:val="000000"/>
          <w:sz w:val="32"/>
          <w:szCs w:val="32"/>
        </w:rPr>
        <w:t>以上</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占</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分，指标计算公式为辖区内护理型床位</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辖区内养老床位数</w:t>
      </w:r>
      <w:r>
        <w:rPr>
          <w:rFonts w:ascii="Times New Roman" w:hAnsi="Times New Roman" w:eastAsia="仿宋" w:cs="Times New Roman"/>
          <w:color w:val="000000"/>
          <w:sz w:val="32"/>
          <w:szCs w:val="32"/>
        </w:rPr>
        <w:t>×100%</w:t>
      </w:r>
      <w:r>
        <w:rPr>
          <w:rFonts w:hint="eastAsia" w:ascii="Times New Roman" w:hAnsi="Times New Roman" w:eastAsia="仿宋" w:cs="仿宋"/>
          <w:color w:val="000000"/>
          <w:sz w:val="32"/>
          <w:szCs w:val="32"/>
        </w:rPr>
        <w:t>，评估方式为查阅养老院的护理型床位占所有床位的比例，每少</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扣</w:t>
      </w:r>
      <w:r>
        <w:rPr>
          <w:rFonts w:ascii="Times New Roman" w:hAnsi="Times New Roman" w:eastAsia="仿宋" w:cs="Times New Roman"/>
          <w:color w:val="000000"/>
          <w:sz w:val="32"/>
          <w:szCs w:val="32"/>
        </w:rPr>
        <w:t>0.1</w:t>
      </w:r>
      <w:r>
        <w:rPr>
          <w:rFonts w:hint="eastAsia" w:ascii="Times New Roman" w:hAnsi="Times New Roman" w:eastAsia="仿宋" w:cs="仿宋"/>
          <w:color w:val="000000"/>
          <w:sz w:val="32"/>
          <w:szCs w:val="32"/>
        </w:rPr>
        <w:t>分，扣完</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分为止。</w:t>
      </w:r>
    </w:p>
    <w:tbl>
      <w:tblPr>
        <w:tblStyle w:val="7"/>
        <w:tblW w:w="906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56"/>
        <w:gridCol w:w="6890"/>
        <w:gridCol w:w="8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4" w:hRule="atLeast"/>
          <w:jc w:val="center"/>
        </w:trPr>
        <w:tc>
          <w:tcPr>
            <w:tcW w:w="1356" w:type="dxa"/>
            <w:vAlign w:val="center"/>
          </w:tcPr>
          <w:p>
            <w:pPr>
              <w:spacing w:line="400" w:lineRule="exact"/>
              <w:jc w:val="center"/>
              <w:rPr>
                <w:rFonts w:ascii="Times New Roman" w:hAnsi="Times New Roman" w:cs="Times New Roman"/>
                <w:color w:val="000000"/>
                <w:sz w:val="24"/>
                <w:szCs w:val="24"/>
              </w:rPr>
            </w:pPr>
            <w:r>
              <w:rPr>
                <w:rFonts w:hint="eastAsia" w:ascii="Times New Roman" w:hAnsi="Times New Roman" w:cs="宋体"/>
                <w:color w:val="000000"/>
                <w:sz w:val="24"/>
                <w:szCs w:val="24"/>
              </w:rPr>
              <w:t>（五）</w:t>
            </w:r>
          </w:p>
        </w:tc>
        <w:tc>
          <w:tcPr>
            <w:tcW w:w="6890" w:type="dxa"/>
            <w:vAlign w:val="center"/>
          </w:tcPr>
          <w:p>
            <w:pPr>
              <w:spacing w:line="400" w:lineRule="exact"/>
              <w:rPr>
                <w:rFonts w:ascii="Times New Roman" w:hAnsi="Times New Roman" w:cs="Times New Roman"/>
                <w:color w:val="000000"/>
                <w:sz w:val="24"/>
                <w:szCs w:val="24"/>
              </w:rPr>
            </w:pPr>
            <w:r>
              <w:rPr>
                <w:rFonts w:hint="eastAsia" w:ascii="Times New Roman" w:hAnsi="Times New Roman" w:cs="宋体"/>
                <w:color w:val="000000"/>
                <w:sz w:val="24"/>
                <w:szCs w:val="24"/>
              </w:rPr>
              <w:t>全面完成民政脱贫攻坚各项任务</w:t>
            </w:r>
            <w:r>
              <w:rPr>
                <w:rFonts w:ascii="Times New Roman" w:hAnsi="Times New Roman" w:cs="Times New Roman"/>
                <w:color w:val="000000"/>
                <w:sz w:val="24"/>
                <w:szCs w:val="24"/>
              </w:rPr>
              <w:t>,</w:t>
            </w:r>
            <w:r>
              <w:rPr>
                <w:rFonts w:hint="eastAsia" w:ascii="Times New Roman" w:hAnsi="Times New Roman" w:cs="宋体"/>
                <w:color w:val="000000"/>
                <w:sz w:val="24"/>
                <w:szCs w:val="24"/>
              </w:rPr>
              <w:t>切实做好社会救助兜底保障工作，将符合条件的建档立卡贫困人口全部纳入农村低保或农村特困供养保障范围，认定为社会救助兜底保障对象，并实行分类保障，实现一户一档，救助帮扶措施到位。</w:t>
            </w:r>
          </w:p>
        </w:tc>
        <w:tc>
          <w:tcPr>
            <w:tcW w:w="815" w:type="dxa"/>
            <w:vAlign w:val="center"/>
          </w:tcPr>
          <w:p>
            <w:pPr>
              <w:spacing w:line="400" w:lineRule="exact"/>
              <w:jc w:val="center"/>
              <w:rPr>
                <w:rFonts w:ascii="Times New Roman" w:hAnsi="Times New Roman" w:cs="Times New Roman"/>
                <w:color w:val="000000"/>
                <w:sz w:val="24"/>
                <w:szCs w:val="24"/>
              </w:rPr>
            </w:pPr>
            <w:r>
              <w:rPr>
                <w:rFonts w:ascii="Times New Roman" w:hAnsi="Times New Roman" w:cs="Times New Roman"/>
                <w:color w:val="000000"/>
                <w:sz w:val="24"/>
                <w:szCs w:val="24"/>
              </w:rPr>
              <w:t>2</w:t>
            </w:r>
            <w:r>
              <w:rPr>
                <w:rFonts w:hint="eastAsia" w:ascii="Times New Roman" w:hAnsi="Times New Roman" w:cs="宋体"/>
                <w:color w:val="000000"/>
                <w:sz w:val="24"/>
                <w:szCs w:val="24"/>
              </w:rPr>
              <w:t>分</w:t>
            </w:r>
          </w:p>
        </w:tc>
      </w:tr>
    </w:tbl>
    <w:p>
      <w:pPr>
        <w:spacing w:line="580" w:lineRule="exact"/>
        <w:ind w:firstLine="640" w:firstLineChars="200"/>
        <w:rPr>
          <w:rFonts w:ascii="Times New Roman" w:hAnsi="Times New Roman" w:eastAsia="仿宋" w:cs="Times New Roman"/>
          <w:color w:val="000000"/>
          <w:sz w:val="32"/>
          <w:szCs w:val="32"/>
        </w:rPr>
      </w:pPr>
      <w:r>
        <w:rPr>
          <w:rFonts w:hint="eastAsia" w:ascii="Times New Roman" w:hAnsi="Times New Roman" w:eastAsia="仿宋" w:cs="仿宋"/>
          <w:color w:val="000000"/>
          <w:sz w:val="32"/>
          <w:szCs w:val="32"/>
        </w:rPr>
        <w:t>本项指标从兜底保障对象认定、分类保障、档案管理等方面对县市区的社会救助兜底保障工作进行评估。目标值的确定依据主要是《关于在脱贫攻坚三年行动中切实做好社会救助兜底保障工作的实施方案》。评估方式主要是查阅文档，随机抽查社会救助兜底保障对象情况，查看社会救助兜底保障对象档案。在本地行业部门脱贫攻坚成效考核中被扣分的，扣</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分；每发现一例社会救助兜底保障对象认定不准确的，扣</w:t>
      </w:r>
      <w:r>
        <w:rPr>
          <w:rFonts w:ascii="Times New Roman" w:hAnsi="Times New Roman" w:eastAsia="仿宋" w:cs="Times New Roman"/>
          <w:color w:val="000000"/>
          <w:sz w:val="32"/>
          <w:szCs w:val="32"/>
        </w:rPr>
        <w:t>0.2</w:t>
      </w:r>
      <w:r>
        <w:rPr>
          <w:rFonts w:hint="eastAsia" w:ascii="Times New Roman" w:hAnsi="Times New Roman" w:eastAsia="仿宋" w:cs="仿宋"/>
          <w:color w:val="000000"/>
          <w:sz w:val="32"/>
          <w:szCs w:val="32"/>
        </w:rPr>
        <w:t>分，扣完</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分为止；每发现一例兜底保障对象分类保障不准确的，扣</w:t>
      </w:r>
      <w:r>
        <w:rPr>
          <w:rFonts w:ascii="Times New Roman" w:hAnsi="Times New Roman" w:eastAsia="仿宋" w:cs="Times New Roman"/>
          <w:color w:val="000000"/>
          <w:sz w:val="32"/>
          <w:szCs w:val="32"/>
        </w:rPr>
        <w:t>0.2</w:t>
      </w:r>
      <w:r>
        <w:rPr>
          <w:rFonts w:hint="eastAsia" w:ascii="Times New Roman" w:hAnsi="Times New Roman" w:eastAsia="仿宋" w:cs="仿宋"/>
          <w:color w:val="000000"/>
          <w:sz w:val="32"/>
          <w:szCs w:val="32"/>
        </w:rPr>
        <w:t>分，扣完</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分为止；未实行一户一档的，扣</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分；加大对失能半失能社会救助兜底保障对象的生活帮扶力度，发现一例未针对失能半失能社会救助兜底保障对象制定生活帮扶措施的，扣</w:t>
      </w:r>
      <w:r>
        <w:rPr>
          <w:rFonts w:ascii="Times New Roman" w:hAnsi="Times New Roman" w:eastAsia="仿宋" w:cs="Times New Roman"/>
          <w:color w:val="000000"/>
          <w:sz w:val="32"/>
          <w:szCs w:val="32"/>
        </w:rPr>
        <w:t>0.2</w:t>
      </w:r>
      <w:r>
        <w:rPr>
          <w:rFonts w:hint="eastAsia" w:ascii="Times New Roman" w:hAnsi="Times New Roman" w:eastAsia="仿宋" w:cs="仿宋"/>
          <w:color w:val="000000"/>
          <w:sz w:val="32"/>
          <w:szCs w:val="32"/>
        </w:rPr>
        <w:t>分，扣完</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分为止。</w:t>
      </w:r>
    </w:p>
    <w:tbl>
      <w:tblPr>
        <w:tblStyle w:val="7"/>
        <w:tblW w:w="879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59"/>
        <w:gridCol w:w="6057"/>
        <w:gridCol w:w="11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559" w:type="dxa"/>
            <w:vAlign w:val="center"/>
          </w:tcPr>
          <w:p>
            <w:pPr>
              <w:spacing w:line="400" w:lineRule="exact"/>
              <w:jc w:val="center"/>
              <w:rPr>
                <w:rFonts w:ascii="Times New Roman" w:hAnsi="Times New Roman" w:cs="Times New Roman"/>
                <w:color w:val="000000"/>
                <w:sz w:val="24"/>
                <w:szCs w:val="24"/>
              </w:rPr>
            </w:pPr>
            <w:r>
              <w:rPr>
                <w:rFonts w:hint="eastAsia" w:ascii="Times New Roman" w:hAnsi="Times New Roman" w:cs="宋体"/>
                <w:color w:val="000000"/>
                <w:sz w:val="24"/>
                <w:szCs w:val="24"/>
              </w:rPr>
              <w:t>（六）</w:t>
            </w:r>
          </w:p>
        </w:tc>
        <w:tc>
          <w:tcPr>
            <w:tcW w:w="6057" w:type="dxa"/>
            <w:vAlign w:val="center"/>
          </w:tcPr>
          <w:p>
            <w:pPr>
              <w:spacing w:line="400" w:lineRule="exact"/>
              <w:rPr>
                <w:rFonts w:ascii="Times New Roman" w:hAnsi="Times New Roman" w:cs="Times New Roman"/>
                <w:color w:val="000000"/>
                <w:sz w:val="24"/>
                <w:szCs w:val="24"/>
              </w:rPr>
            </w:pPr>
            <w:r>
              <w:rPr>
                <w:rFonts w:hint="eastAsia" w:ascii="Times New Roman" w:hAnsi="Times New Roman" w:cs="宋体"/>
                <w:color w:val="000000"/>
                <w:sz w:val="24"/>
                <w:szCs w:val="24"/>
              </w:rPr>
              <w:t>建立</w:t>
            </w:r>
            <w:r>
              <w:rPr>
                <w:rFonts w:ascii="Times New Roman" w:hAnsi="Times New Roman" w:cs="Times New Roman"/>
                <w:color w:val="000000"/>
                <w:sz w:val="24"/>
                <w:szCs w:val="24"/>
              </w:rPr>
              <w:t>1</w:t>
            </w:r>
            <w:r>
              <w:rPr>
                <w:rFonts w:hint="eastAsia" w:ascii="Times New Roman" w:hAnsi="Times New Roman" w:cs="宋体"/>
                <w:color w:val="000000"/>
                <w:sz w:val="24"/>
                <w:szCs w:val="24"/>
              </w:rPr>
              <w:t>家以上康复辅助器具配置服务站点。</w:t>
            </w:r>
          </w:p>
        </w:tc>
        <w:tc>
          <w:tcPr>
            <w:tcW w:w="1182" w:type="dxa"/>
            <w:vAlign w:val="center"/>
          </w:tcPr>
          <w:p>
            <w:pPr>
              <w:spacing w:line="400" w:lineRule="exact"/>
              <w:jc w:val="center"/>
              <w:rPr>
                <w:rFonts w:ascii="Times New Roman" w:hAnsi="Times New Roman" w:cs="Times New Roman"/>
                <w:color w:val="000000"/>
                <w:sz w:val="24"/>
                <w:szCs w:val="24"/>
              </w:rPr>
            </w:pPr>
            <w:r>
              <w:rPr>
                <w:rFonts w:ascii="Times New Roman" w:hAnsi="Times New Roman" w:cs="Times New Roman"/>
                <w:color w:val="000000"/>
                <w:sz w:val="24"/>
                <w:szCs w:val="24"/>
              </w:rPr>
              <w:t>2</w:t>
            </w:r>
            <w:r>
              <w:rPr>
                <w:rFonts w:hint="eastAsia" w:ascii="Times New Roman" w:hAnsi="Times New Roman" w:cs="宋体"/>
                <w:color w:val="000000"/>
                <w:sz w:val="24"/>
                <w:szCs w:val="24"/>
              </w:rPr>
              <w:t>分</w:t>
            </w:r>
          </w:p>
        </w:tc>
      </w:tr>
    </w:tbl>
    <w:p>
      <w:pPr>
        <w:spacing w:line="580" w:lineRule="exact"/>
        <w:ind w:firstLine="640" w:firstLineChars="200"/>
        <w:rPr>
          <w:rFonts w:ascii="Times New Roman" w:hAnsi="Times New Roman" w:eastAsia="仿宋" w:cs="Times New Roman"/>
          <w:color w:val="000000"/>
          <w:kern w:val="0"/>
          <w:sz w:val="32"/>
          <w:szCs w:val="32"/>
        </w:rPr>
      </w:pPr>
      <w:r>
        <w:rPr>
          <w:rFonts w:hint="eastAsia" w:ascii="Times New Roman" w:hAnsi="Times New Roman" w:eastAsia="仿宋" w:cs="仿宋"/>
          <w:color w:val="000000"/>
          <w:kern w:val="0"/>
          <w:sz w:val="32"/>
          <w:szCs w:val="32"/>
        </w:rPr>
        <w:t>本项指标从康复助器服务站点设置方面进行评估。目标值的确定依据是《国务院关于加快发展康复辅助器具产业的若干意见》、《民政部关于推动落实＜国务院关于加快发展康复辅助器具产业的若干意见＞的通知》、《湖南省人民政府关于加快发展康复辅助器具产业的实施意见》。评估方式主要是现场查看被评估县市区在社会福利机构、养老机构或残疾人托养机构是否设立康复辅助器具配置服务站点，为集中供养的残障人员、低保家庭、特困人员、建档立卡贫困家庭的残障者等配备假肢、矫形器和其他辅助器具。未设立康复辅助器具配置服务站点的，扣</w:t>
      </w:r>
      <w:r>
        <w:rPr>
          <w:rFonts w:ascii="Times New Roman" w:hAnsi="Times New Roman" w:eastAsia="仿宋" w:cs="Times New Roman"/>
          <w:color w:val="000000"/>
          <w:kern w:val="0"/>
          <w:sz w:val="32"/>
          <w:szCs w:val="32"/>
        </w:rPr>
        <w:t>2</w:t>
      </w:r>
      <w:r>
        <w:rPr>
          <w:rFonts w:hint="eastAsia" w:ascii="Times New Roman" w:hAnsi="Times New Roman" w:eastAsia="仿宋" w:cs="仿宋"/>
          <w:color w:val="000000"/>
          <w:kern w:val="0"/>
          <w:sz w:val="32"/>
          <w:szCs w:val="32"/>
        </w:rPr>
        <w:t>分。</w:t>
      </w:r>
    </w:p>
    <w:tbl>
      <w:tblPr>
        <w:tblStyle w:val="7"/>
        <w:tblW w:w="879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15"/>
        <w:gridCol w:w="6001"/>
        <w:gridCol w:w="11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15" w:hRule="atLeast"/>
          <w:jc w:val="center"/>
        </w:trPr>
        <w:tc>
          <w:tcPr>
            <w:tcW w:w="1615" w:type="dxa"/>
            <w:vAlign w:val="center"/>
          </w:tcPr>
          <w:p>
            <w:pPr>
              <w:spacing w:line="400" w:lineRule="exact"/>
              <w:jc w:val="center"/>
              <w:rPr>
                <w:rFonts w:ascii="Times New Roman" w:hAnsi="Times New Roman" w:cs="Times New Roman"/>
                <w:color w:val="000000"/>
                <w:sz w:val="24"/>
                <w:szCs w:val="24"/>
              </w:rPr>
            </w:pPr>
            <w:r>
              <w:rPr>
                <w:rFonts w:hint="eastAsia" w:ascii="Times New Roman" w:hAnsi="Times New Roman" w:cs="宋体"/>
                <w:color w:val="000000"/>
                <w:sz w:val="24"/>
                <w:szCs w:val="24"/>
              </w:rPr>
              <w:t>（七）</w:t>
            </w:r>
          </w:p>
        </w:tc>
        <w:tc>
          <w:tcPr>
            <w:tcW w:w="6001" w:type="dxa"/>
            <w:vAlign w:val="center"/>
          </w:tcPr>
          <w:p>
            <w:pPr>
              <w:spacing w:line="400" w:lineRule="exact"/>
              <w:rPr>
                <w:rFonts w:ascii="Times New Roman" w:hAnsi="Times New Roman" w:cs="Times New Roman"/>
                <w:color w:val="000000"/>
                <w:sz w:val="24"/>
                <w:szCs w:val="24"/>
              </w:rPr>
            </w:pPr>
            <w:r>
              <w:rPr>
                <w:rFonts w:hint="eastAsia" w:ascii="Times New Roman" w:hAnsi="Times New Roman" w:cs="宋体"/>
                <w:color w:val="000000"/>
                <w:sz w:val="24"/>
                <w:szCs w:val="24"/>
              </w:rPr>
              <w:t>民政服务机构安全生产台帐完善，值班巡查和民政服务对象及外来人员登记管理制度落实，消防设施完备，定期消防检查落实，食品留样和消毒措施到位。</w:t>
            </w:r>
          </w:p>
        </w:tc>
        <w:tc>
          <w:tcPr>
            <w:tcW w:w="1182" w:type="dxa"/>
            <w:vAlign w:val="center"/>
          </w:tcPr>
          <w:p>
            <w:pPr>
              <w:spacing w:line="400" w:lineRule="exact"/>
              <w:jc w:val="center"/>
              <w:rPr>
                <w:rFonts w:ascii="Times New Roman" w:hAnsi="Times New Roman" w:cs="Times New Roman"/>
                <w:color w:val="000000"/>
                <w:sz w:val="24"/>
                <w:szCs w:val="24"/>
              </w:rPr>
            </w:pPr>
            <w:r>
              <w:rPr>
                <w:rFonts w:ascii="Times New Roman" w:hAnsi="Times New Roman" w:cs="Times New Roman"/>
                <w:color w:val="000000"/>
                <w:sz w:val="24"/>
                <w:szCs w:val="24"/>
              </w:rPr>
              <w:t>2</w:t>
            </w:r>
            <w:r>
              <w:rPr>
                <w:rFonts w:hint="eastAsia" w:ascii="Times New Roman" w:hAnsi="Times New Roman" w:cs="宋体"/>
                <w:color w:val="000000"/>
                <w:sz w:val="24"/>
                <w:szCs w:val="24"/>
              </w:rPr>
              <w:t>分</w:t>
            </w:r>
          </w:p>
        </w:tc>
      </w:tr>
    </w:tbl>
    <w:p>
      <w:pPr>
        <w:spacing w:line="580" w:lineRule="exact"/>
        <w:ind w:firstLine="640" w:firstLineChars="200"/>
        <w:rPr>
          <w:rFonts w:ascii="Times New Roman" w:hAnsi="Times New Roman" w:eastAsia="仿宋" w:cs="Times New Roman"/>
          <w:color w:val="000000"/>
          <w:kern w:val="0"/>
          <w:sz w:val="32"/>
          <w:szCs w:val="32"/>
        </w:rPr>
      </w:pPr>
      <w:r>
        <w:rPr>
          <w:rFonts w:hint="eastAsia" w:ascii="Times New Roman" w:hAnsi="Times New Roman" w:eastAsia="仿宋" w:cs="仿宋"/>
          <w:color w:val="000000"/>
          <w:kern w:val="0"/>
          <w:sz w:val="32"/>
          <w:szCs w:val="32"/>
        </w:rPr>
        <w:t>本项指标从服务机构安全生产方面进行评估。目标值的确定依据主要是《中共中央办公厅、国务院办公厅关于印发〈地方党政领导干部安全生产责任制规定〉的通知》、《湖南省党政领导干部安全生产责任制实施细则》、《湖南省安全生产和消防工作考核办法》。评估方式主要采取查阅文件资料，实地查看人员管控、值班巡查、食品安全、安全（消防）设施落实情况。无台账、台账不健全的扣</w:t>
      </w:r>
      <w:r>
        <w:rPr>
          <w:rFonts w:ascii="Times New Roman" w:hAnsi="Times New Roman" w:eastAsia="仿宋" w:cs="Times New Roman"/>
          <w:color w:val="000000"/>
          <w:kern w:val="0"/>
          <w:sz w:val="32"/>
          <w:szCs w:val="32"/>
        </w:rPr>
        <w:t>0.5</w:t>
      </w:r>
      <w:r>
        <w:rPr>
          <w:rFonts w:hint="eastAsia" w:ascii="Times New Roman" w:hAnsi="Times New Roman" w:eastAsia="仿宋" w:cs="仿宋"/>
          <w:color w:val="000000"/>
          <w:kern w:val="0"/>
          <w:sz w:val="32"/>
          <w:szCs w:val="32"/>
        </w:rPr>
        <w:t>分，每出现一处安全隐患或者以上制度不落实的扣</w:t>
      </w:r>
      <w:r>
        <w:rPr>
          <w:rFonts w:ascii="Times New Roman" w:hAnsi="Times New Roman" w:eastAsia="仿宋" w:cs="Times New Roman"/>
          <w:color w:val="000000"/>
          <w:kern w:val="0"/>
          <w:sz w:val="32"/>
          <w:szCs w:val="32"/>
        </w:rPr>
        <w:t>0.5</w:t>
      </w:r>
      <w:r>
        <w:rPr>
          <w:rFonts w:hint="eastAsia" w:ascii="Times New Roman" w:hAnsi="Times New Roman" w:eastAsia="仿宋" w:cs="仿宋"/>
          <w:color w:val="000000"/>
          <w:kern w:val="0"/>
          <w:sz w:val="32"/>
          <w:szCs w:val="32"/>
        </w:rPr>
        <w:t>分直至扣完</w:t>
      </w:r>
      <w:r>
        <w:rPr>
          <w:rFonts w:ascii="Times New Roman" w:hAnsi="Times New Roman" w:eastAsia="仿宋" w:cs="Times New Roman"/>
          <w:color w:val="000000"/>
          <w:kern w:val="0"/>
          <w:sz w:val="32"/>
          <w:szCs w:val="32"/>
        </w:rPr>
        <w:t>2</w:t>
      </w:r>
      <w:r>
        <w:rPr>
          <w:rFonts w:hint="eastAsia" w:ascii="Times New Roman" w:hAnsi="Times New Roman" w:eastAsia="仿宋" w:cs="仿宋"/>
          <w:color w:val="000000"/>
          <w:kern w:val="0"/>
          <w:sz w:val="32"/>
          <w:szCs w:val="32"/>
        </w:rPr>
        <w:t>分为止，存有重大隐患的直接扣</w:t>
      </w:r>
      <w:r>
        <w:rPr>
          <w:rFonts w:ascii="Times New Roman" w:hAnsi="Times New Roman" w:eastAsia="仿宋" w:cs="Times New Roman"/>
          <w:color w:val="000000"/>
          <w:kern w:val="0"/>
          <w:sz w:val="32"/>
          <w:szCs w:val="32"/>
        </w:rPr>
        <w:t>2</w:t>
      </w:r>
      <w:r>
        <w:rPr>
          <w:rFonts w:hint="eastAsia" w:ascii="Times New Roman" w:hAnsi="Times New Roman" w:eastAsia="仿宋" w:cs="仿宋"/>
          <w:color w:val="000000"/>
          <w:kern w:val="0"/>
          <w:sz w:val="32"/>
          <w:szCs w:val="32"/>
        </w:rPr>
        <w:t>分。</w:t>
      </w:r>
    </w:p>
    <w:p>
      <w:pPr>
        <w:spacing w:line="580" w:lineRule="exact"/>
        <w:ind w:firstLine="643" w:firstLineChars="200"/>
        <w:rPr>
          <w:rFonts w:ascii="楷体_GB2312" w:hAnsi="Times New Roman" w:eastAsia="楷体_GB2312" w:cs="Times New Roman"/>
          <w:b/>
          <w:bCs/>
          <w:color w:val="000000"/>
          <w:kern w:val="0"/>
          <w:sz w:val="32"/>
          <w:szCs w:val="32"/>
        </w:rPr>
      </w:pPr>
      <w:r>
        <w:rPr>
          <w:rFonts w:hint="eastAsia" w:ascii="楷体_GB2312" w:hAnsi="Times New Roman" w:eastAsia="楷体_GB2312" w:cs="楷体_GB2312"/>
          <w:b/>
          <w:bCs/>
          <w:color w:val="000000"/>
          <w:kern w:val="0"/>
          <w:sz w:val="32"/>
          <w:szCs w:val="32"/>
        </w:rPr>
        <w:t>（二）法治化</w:t>
      </w:r>
    </w:p>
    <w:tbl>
      <w:tblPr>
        <w:tblStyle w:val="7"/>
        <w:tblW w:w="8856"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16"/>
        <w:gridCol w:w="6145"/>
        <w:gridCol w:w="10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7" w:hRule="atLeast"/>
          <w:jc w:val="center"/>
        </w:trPr>
        <w:tc>
          <w:tcPr>
            <w:tcW w:w="1616" w:type="dxa"/>
            <w:vAlign w:val="center"/>
          </w:tcPr>
          <w:p>
            <w:pPr>
              <w:spacing w:line="400" w:lineRule="exact"/>
              <w:jc w:val="center"/>
              <w:rPr>
                <w:rFonts w:ascii="Times New Roman" w:hAnsi="Times New Roman" w:cs="Times New Roman"/>
                <w:color w:val="000000"/>
                <w:sz w:val="24"/>
                <w:szCs w:val="24"/>
              </w:rPr>
            </w:pPr>
            <w:r>
              <w:rPr>
                <w:rFonts w:hint="eastAsia" w:ascii="Times New Roman" w:hAnsi="Times New Roman" w:cs="宋体"/>
                <w:color w:val="000000"/>
                <w:sz w:val="24"/>
                <w:szCs w:val="24"/>
              </w:rPr>
              <w:t>（八）</w:t>
            </w:r>
          </w:p>
        </w:tc>
        <w:tc>
          <w:tcPr>
            <w:tcW w:w="6145" w:type="dxa"/>
            <w:vAlign w:val="center"/>
          </w:tcPr>
          <w:p>
            <w:pPr>
              <w:spacing w:line="400" w:lineRule="exact"/>
              <w:rPr>
                <w:rFonts w:ascii="Times New Roman" w:hAnsi="Times New Roman" w:cs="Times New Roman"/>
                <w:color w:val="000000"/>
                <w:sz w:val="24"/>
                <w:szCs w:val="24"/>
              </w:rPr>
            </w:pPr>
            <w:r>
              <w:rPr>
                <w:rFonts w:hint="eastAsia" w:ascii="Times New Roman" w:hAnsi="Times New Roman" w:cs="宋体"/>
                <w:color w:val="000000"/>
                <w:sz w:val="24"/>
                <w:szCs w:val="24"/>
              </w:rPr>
              <w:t>聘请法律顾问并实质性参与法治工作。</w:t>
            </w:r>
          </w:p>
        </w:tc>
        <w:tc>
          <w:tcPr>
            <w:tcW w:w="1095" w:type="dxa"/>
            <w:vAlign w:val="center"/>
          </w:tcPr>
          <w:p>
            <w:pPr>
              <w:spacing w:line="400" w:lineRule="exact"/>
              <w:jc w:val="center"/>
              <w:rPr>
                <w:rFonts w:ascii="Times New Roman" w:hAnsi="Times New Roman" w:cs="Times New Roman"/>
                <w:color w:val="000000"/>
                <w:sz w:val="24"/>
                <w:szCs w:val="24"/>
              </w:rPr>
            </w:pPr>
            <w:r>
              <w:rPr>
                <w:rFonts w:ascii="Times New Roman" w:hAnsi="Times New Roman" w:cs="Times New Roman"/>
                <w:color w:val="000000"/>
                <w:sz w:val="24"/>
                <w:szCs w:val="24"/>
              </w:rPr>
              <w:t>2</w:t>
            </w:r>
            <w:r>
              <w:rPr>
                <w:rFonts w:hint="eastAsia" w:ascii="Times New Roman" w:hAnsi="Times New Roman" w:cs="宋体"/>
                <w:color w:val="000000"/>
                <w:sz w:val="24"/>
                <w:szCs w:val="24"/>
              </w:rPr>
              <w:t>分</w:t>
            </w:r>
          </w:p>
        </w:tc>
      </w:tr>
    </w:tbl>
    <w:p>
      <w:pPr>
        <w:spacing w:line="580" w:lineRule="exact"/>
        <w:ind w:firstLine="640" w:firstLineChars="200"/>
        <w:rPr>
          <w:rFonts w:ascii="Times New Roman" w:hAnsi="Times New Roman" w:eastAsia="仿宋" w:cs="Times New Roman"/>
          <w:color w:val="000000"/>
          <w:sz w:val="32"/>
          <w:szCs w:val="32"/>
        </w:rPr>
      </w:pPr>
      <w:r>
        <w:rPr>
          <w:rFonts w:hint="eastAsia" w:ascii="Times New Roman" w:hAnsi="Times New Roman" w:eastAsia="仿宋" w:cs="仿宋"/>
          <w:color w:val="000000"/>
          <w:sz w:val="32"/>
          <w:szCs w:val="32"/>
        </w:rPr>
        <w:t>本项指标从民政法律顾问方面进行评估。目标值的确定依据是《中共中央办公厅、国务院办公厅印发〈关于推行法律顾问制度和公职律师公司律师制度的意见〉的通知》、《中共湖南省委办公厅、湖南省人民政府办公厅印发〈关于推行法律顾问制度和公职律师公司律师制度的实施意见〉的通知》、《湖南省政府法律顾问工作规定》。评估方式主要是通过查阅合同及法律文件进行确定。</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聘请法律顾问</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主要查阅聘请法律顾问合同，未聘请的扣</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实质性参与法治工作</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主要查阅被评估县市区民政部门委托法律顾问办理法律事务的服务成果（例如年度法律服务计划、法律意见书、合同等），少于</w:t>
      </w:r>
      <w:r>
        <w:rPr>
          <w:rFonts w:ascii="Times New Roman" w:hAnsi="Times New Roman" w:eastAsia="仿宋" w:cs="Times New Roman"/>
          <w:color w:val="000000"/>
          <w:sz w:val="32"/>
          <w:szCs w:val="32"/>
        </w:rPr>
        <w:t>5</w:t>
      </w:r>
      <w:r>
        <w:rPr>
          <w:rFonts w:hint="eastAsia" w:ascii="Times New Roman" w:hAnsi="Times New Roman" w:eastAsia="仿宋" w:cs="仿宋"/>
          <w:color w:val="000000"/>
          <w:sz w:val="32"/>
          <w:szCs w:val="32"/>
        </w:rPr>
        <w:t>件的扣</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w:t>
      </w:r>
    </w:p>
    <w:tbl>
      <w:tblPr>
        <w:tblStyle w:val="7"/>
        <w:tblW w:w="893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31"/>
        <w:gridCol w:w="6315"/>
        <w:gridCol w:w="11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39" w:hRule="atLeast"/>
          <w:jc w:val="center"/>
        </w:trPr>
        <w:tc>
          <w:tcPr>
            <w:tcW w:w="1431" w:type="dxa"/>
            <w:vAlign w:val="center"/>
          </w:tcPr>
          <w:p>
            <w:pPr>
              <w:spacing w:line="400" w:lineRule="exact"/>
              <w:jc w:val="center"/>
              <w:rPr>
                <w:rFonts w:ascii="Times New Roman" w:hAnsi="Times New Roman" w:cs="Times New Roman"/>
                <w:color w:val="000000"/>
                <w:sz w:val="24"/>
                <w:szCs w:val="24"/>
              </w:rPr>
            </w:pPr>
            <w:r>
              <w:rPr>
                <w:rFonts w:hint="eastAsia" w:ascii="Times New Roman" w:hAnsi="Times New Roman" w:cs="宋体"/>
                <w:color w:val="000000"/>
                <w:sz w:val="24"/>
                <w:szCs w:val="24"/>
              </w:rPr>
              <w:t>（九）</w:t>
            </w:r>
          </w:p>
        </w:tc>
        <w:tc>
          <w:tcPr>
            <w:tcW w:w="6315" w:type="dxa"/>
            <w:vAlign w:val="center"/>
          </w:tcPr>
          <w:p>
            <w:pPr>
              <w:spacing w:line="400" w:lineRule="exact"/>
              <w:rPr>
                <w:rFonts w:ascii="Times New Roman" w:hAnsi="Times New Roman" w:cs="Times New Roman"/>
                <w:color w:val="000000"/>
                <w:sz w:val="24"/>
                <w:szCs w:val="24"/>
              </w:rPr>
            </w:pPr>
            <w:r>
              <w:rPr>
                <w:rFonts w:hint="eastAsia" w:ascii="Times New Roman" w:hAnsi="Times New Roman" w:cs="宋体"/>
                <w:color w:val="000000"/>
                <w:sz w:val="24"/>
                <w:szCs w:val="24"/>
              </w:rPr>
              <w:t>制定年度普法工作计划和普法责任清单；深入开展民政法律法规规章宣传培训。</w:t>
            </w:r>
          </w:p>
        </w:tc>
        <w:tc>
          <w:tcPr>
            <w:tcW w:w="1185" w:type="dxa"/>
            <w:vAlign w:val="center"/>
          </w:tcPr>
          <w:p>
            <w:pPr>
              <w:spacing w:line="400" w:lineRule="exact"/>
              <w:jc w:val="center"/>
              <w:rPr>
                <w:rFonts w:ascii="Times New Roman" w:hAnsi="Times New Roman" w:cs="Times New Roman"/>
                <w:color w:val="000000"/>
                <w:sz w:val="24"/>
                <w:szCs w:val="24"/>
              </w:rPr>
            </w:pPr>
            <w:r>
              <w:rPr>
                <w:rFonts w:ascii="Times New Roman" w:hAnsi="Times New Roman" w:cs="Times New Roman"/>
                <w:color w:val="000000"/>
                <w:sz w:val="24"/>
                <w:szCs w:val="24"/>
              </w:rPr>
              <w:t>2</w:t>
            </w:r>
            <w:r>
              <w:rPr>
                <w:rFonts w:hint="eastAsia" w:ascii="Times New Roman" w:hAnsi="Times New Roman" w:cs="宋体"/>
                <w:color w:val="000000"/>
                <w:sz w:val="24"/>
                <w:szCs w:val="24"/>
              </w:rPr>
              <w:t>分</w:t>
            </w:r>
          </w:p>
        </w:tc>
      </w:tr>
    </w:tbl>
    <w:p>
      <w:pPr>
        <w:spacing w:line="580" w:lineRule="exact"/>
        <w:ind w:firstLine="640" w:firstLineChars="200"/>
        <w:rPr>
          <w:rFonts w:ascii="Times New Roman" w:hAnsi="Times New Roman" w:eastAsia="仿宋" w:cs="Times New Roman"/>
          <w:color w:val="000000"/>
          <w:sz w:val="32"/>
          <w:szCs w:val="32"/>
        </w:rPr>
      </w:pPr>
      <w:r>
        <w:rPr>
          <w:rFonts w:hint="eastAsia" w:ascii="Times New Roman" w:hAnsi="Times New Roman" w:eastAsia="仿宋" w:cs="仿宋"/>
          <w:color w:val="000000"/>
          <w:sz w:val="32"/>
          <w:szCs w:val="32"/>
        </w:rPr>
        <w:t>本项指标从普法工作方面进行评估。目标值的确定依据是《省委宣传部、省司法厅关于在全省公民中深入开展法治宣传教育的第七个五年规划（</w:t>
      </w:r>
      <w:r>
        <w:rPr>
          <w:rFonts w:ascii="Times New Roman" w:hAnsi="Times New Roman" w:eastAsia="仿宋" w:cs="Times New Roman"/>
          <w:color w:val="000000"/>
          <w:sz w:val="32"/>
          <w:szCs w:val="32"/>
        </w:rPr>
        <w:t>2016-2020</w:t>
      </w:r>
      <w:r>
        <w:rPr>
          <w:rFonts w:hint="eastAsia" w:ascii="Times New Roman" w:hAnsi="Times New Roman" w:eastAsia="仿宋" w:cs="仿宋"/>
          <w:color w:val="000000"/>
          <w:sz w:val="32"/>
          <w:szCs w:val="32"/>
        </w:rPr>
        <w:t>年）》、《中共湖南省委办公厅、湖南省人民政府办公厅关于在全省各级国家机关中实行</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谁执法谁普法</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责任制的意见》。</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制定年度普法计划和普法责任清单</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占</w:t>
      </w:r>
      <w:r>
        <w:rPr>
          <w:rFonts w:ascii="Times New Roman" w:hAnsi="Times New Roman" w:eastAsia="仿宋" w:cs="Times New Roman"/>
          <w:color w:val="000000"/>
          <w:sz w:val="32"/>
          <w:szCs w:val="32"/>
        </w:rPr>
        <w:t>0.5</w:t>
      </w:r>
      <w:r>
        <w:rPr>
          <w:rFonts w:hint="eastAsia" w:ascii="Times New Roman" w:hAnsi="Times New Roman" w:eastAsia="仿宋" w:cs="仿宋"/>
          <w:color w:val="000000"/>
          <w:sz w:val="32"/>
          <w:szCs w:val="32"/>
        </w:rPr>
        <w:t>分，评估方式主要是查阅民政部门相关文件，未制定的扣</w:t>
      </w:r>
      <w:r>
        <w:rPr>
          <w:rFonts w:ascii="Times New Roman" w:hAnsi="Times New Roman" w:eastAsia="仿宋" w:cs="Times New Roman"/>
          <w:color w:val="000000"/>
          <w:sz w:val="32"/>
          <w:szCs w:val="32"/>
        </w:rPr>
        <w:t>0.5</w:t>
      </w:r>
      <w:r>
        <w:rPr>
          <w:rFonts w:hint="eastAsia" w:ascii="Times New Roman" w:hAnsi="Times New Roman" w:eastAsia="仿宋" w:cs="仿宋"/>
          <w:color w:val="000000"/>
          <w:sz w:val="32"/>
          <w:szCs w:val="32"/>
        </w:rPr>
        <w:t>分。</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深入开展民政法律法规规章宣传培训</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占</w:t>
      </w:r>
      <w:r>
        <w:rPr>
          <w:rFonts w:ascii="Times New Roman" w:hAnsi="Times New Roman" w:eastAsia="仿宋" w:cs="Times New Roman"/>
          <w:color w:val="000000"/>
          <w:sz w:val="32"/>
          <w:szCs w:val="32"/>
        </w:rPr>
        <w:t>1.5</w:t>
      </w:r>
      <w:r>
        <w:rPr>
          <w:rFonts w:hint="eastAsia" w:ascii="Times New Roman" w:hAnsi="Times New Roman" w:eastAsia="仿宋" w:cs="仿宋"/>
          <w:color w:val="000000"/>
          <w:sz w:val="32"/>
          <w:szCs w:val="32"/>
        </w:rPr>
        <w:t>分，评估方式为查阅县市区民政局对</w:t>
      </w:r>
      <w:r>
        <w:rPr>
          <w:rFonts w:ascii="Times New Roman" w:hAnsi="Times New Roman" w:eastAsia="仿宋" w:cs="Times New Roman"/>
          <w:color w:val="000000"/>
          <w:sz w:val="32"/>
          <w:szCs w:val="32"/>
        </w:rPr>
        <w:t>2018-2019</w:t>
      </w:r>
      <w:r>
        <w:rPr>
          <w:rFonts w:hint="eastAsia" w:ascii="Times New Roman" w:hAnsi="Times New Roman" w:eastAsia="仿宋" w:cs="仿宋"/>
          <w:color w:val="000000"/>
          <w:sz w:val="32"/>
          <w:szCs w:val="32"/>
        </w:rPr>
        <w:t>年新出台、新修订的民政法律法规规章在颁布后</w:t>
      </w:r>
      <w:r>
        <w:rPr>
          <w:rFonts w:ascii="Times New Roman" w:hAnsi="Times New Roman" w:eastAsia="仿宋" w:cs="Times New Roman"/>
          <w:color w:val="000000"/>
          <w:sz w:val="32"/>
          <w:szCs w:val="32"/>
        </w:rPr>
        <w:t>3</w:t>
      </w:r>
      <w:r>
        <w:rPr>
          <w:rFonts w:hint="eastAsia" w:ascii="Times New Roman" w:hAnsi="Times New Roman" w:eastAsia="仿宋" w:cs="仿宋"/>
          <w:color w:val="000000"/>
          <w:sz w:val="32"/>
          <w:szCs w:val="32"/>
        </w:rPr>
        <w:t>个月内组织县市区民政局机关、直属单位及乡镇民政办工作人员进行学习培训情况，主要查阅学习方案、学习人员签名表、讲义、照片等，未完成的每部扣</w:t>
      </w:r>
      <w:r>
        <w:rPr>
          <w:rFonts w:ascii="Times New Roman" w:hAnsi="Times New Roman" w:eastAsia="仿宋" w:cs="Times New Roman"/>
          <w:color w:val="000000"/>
          <w:sz w:val="32"/>
          <w:szCs w:val="32"/>
        </w:rPr>
        <w:t>0.5</w:t>
      </w:r>
      <w:r>
        <w:rPr>
          <w:rFonts w:hint="eastAsia" w:ascii="Times New Roman" w:hAnsi="Times New Roman" w:eastAsia="仿宋" w:cs="仿宋"/>
          <w:color w:val="000000"/>
          <w:sz w:val="32"/>
          <w:szCs w:val="32"/>
        </w:rPr>
        <w:t>分，扣完</w:t>
      </w:r>
      <w:r>
        <w:rPr>
          <w:rFonts w:ascii="Times New Roman" w:hAnsi="Times New Roman" w:eastAsia="仿宋" w:cs="Times New Roman"/>
          <w:color w:val="000000"/>
          <w:sz w:val="32"/>
          <w:szCs w:val="32"/>
        </w:rPr>
        <w:t>1.5</w:t>
      </w:r>
      <w:r>
        <w:rPr>
          <w:rFonts w:hint="eastAsia" w:ascii="Times New Roman" w:hAnsi="Times New Roman" w:eastAsia="仿宋" w:cs="仿宋"/>
          <w:color w:val="000000"/>
          <w:sz w:val="32"/>
          <w:szCs w:val="32"/>
        </w:rPr>
        <w:t>分为止。</w:t>
      </w:r>
    </w:p>
    <w:tbl>
      <w:tblPr>
        <w:tblStyle w:val="7"/>
        <w:tblW w:w="8859"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41"/>
        <w:gridCol w:w="6705"/>
        <w:gridCol w:w="10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40" w:hRule="atLeast"/>
          <w:jc w:val="center"/>
        </w:trPr>
        <w:tc>
          <w:tcPr>
            <w:tcW w:w="1141" w:type="dxa"/>
            <w:vAlign w:val="center"/>
          </w:tcPr>
          <w:p>
            <w:pPr>
              <w:spacing w:line="400" w:lineRule="exact"/>
              <w:jc w:val="center"/>
              <w:rPr>
                <w:rFonts w:ascii="Times New Roman" w:hAnsi="Times New Roman" w:cs="Times New Roman"/>
                <w:color w:val="000000"/>
                <w:sz w:val="24"/>
                <w:szCs w:val="24"/>
              </w:rPr>
            </w:pPr>
            <w:r>
              <w:rPr>
                <w:rFonts w:hint="eastAsia" w:ascii="Times New Roman" w:hAnsi="Times New Roman" w:cs="宋体"/>
                <w:color w:val="000000"/>
                <w:sz w:val="24"/>
                <w:szCs w:val="24"/>
              </w:rPr>
              <w:t>（十）</w:t>
            </w:r>
          </w:p>
        </w:tc>
        <w:tc>
          <w:tcPr>
            <w:tcW w:w="6705" w:type="dxa"/>
            <w:vAlign w:val="center"/>
          </w:tcPr>
          <w:p>
            <w:pPr>
              <w:spacing w:line="400" w:lineRule="exact"/>
              <w:rPr>
                <w:rFonts w:ascii="Times New Roman" w:hAnsi="Times New Roman" w:cs="Times New Roman"/>
                <w:color w:val="000000"/>
                <w:sz w:val="24"/>
                <w:szCs w:val="24"/>
              </w:rPr>
            </w:pPr>
            <w:r>
              <w:rPr>
                <w:rFonts w:hint="eastAsia" w:ascii="Times New Roman" w:hAnsi="Times New Roman" w:cs="宋体"/>
                <w:color w:val="000000"/>
                <w:sz w:val="24"/>
                <w:szCs w:val="24"/>
              </w:rPr>
              <w:t>建立民政执法全过程记录制度。每年组织对社会组织、救助、殡葬、慈善等民政重点管理领域进行专项执法检查</w:t>
            </w:r>
            <w:r>
              <w:rPr>
                <w:rFonts w:ascii="Times New Roman" w:hAnsi="Times New Roman" w:cs="Times New Roman"/>
                <w:color w:val="000000"/>
                <w:sz w:val="24"/>
                <w:szCs w:val="24"/>
              </w:rPr>
              <w:t>1</w:t>
            </w:r>
            <w:r>
              <w:rPr>
                <w:rFonts w:hint="eastAsia" w:ascii="Times New Roman" w:hAnsi="Times New Roman" w:cs="宋体"/>
                <w:color w:val="000000"/>
                <w:sz w:val="24"/>
                <w:szCs w:val="24"/>
              </w:rPr>
              <w:t>次以上。行政许可、行政处罚、行政给付、行政确认案卷规范合法。建立民政部门负责人出庭应诉制度。</w:t>
            </w:r>
          </w:p>
        </w:tc>
        <w:tc>
          <w:tcPr>
            <w:tcW w:w="1013" w:type="dxa"/>
            <w:vAlign w:val="center"/>
          </w:tcPr>
          <w:p>
            <w:pPr>
              <w:spacing w:line="400" w:lineRule="exact"/>
              <w:jc w:val="center"/>
              <w:rPr>
                <w:rFonts w:ascii="Times New Roman" w:hAnsi="Times New Roman" w:cs="Times New Roman"/>
                <w:color w:val="000000"/>
                <w:sz w:val="24"/>
                <w:szCs w:val="24"/>
              </w:rPr>
            </w:pPr>
            <w:r>
              <w:rPr>
                <w:rFonts w:ascii="Times New Roman" w:hAnsi="Times New Roman" w:cs="Times New Roman"/>
                <w:color w:val="000000"/>
                <w:sz w:val="24"/>
                <w:szCs w:val="24"/>
              </w:rPr>
              <w:t>6</w:t>
            </w:r>
            <w:r>
              <w:rPr>
                <w:rFonts w:hint="eastAsia" w:ascii="Times New Roman" w:hAnsi="Times New Roman" w:cs="宋体"/>
                <w:color w:val="000000"/>
                <w:sz w:val="24"/>
                <w:szCs w:val="24"/>
              </w:rPr>
              <w:t>分</w:t>
            </w:r>
          </w:p>
        </w:tc>
      </w:tr>
    </w:tbl>
    <w:p>
      <w:pPr>
        <w:spacing w:line="586" w:lineRule="exact"/>
        <w:ind w:firstLine="640" w:firstLineChars="200"/>
        <w:rPr>
          <w:rFonts w:ascii="Times New Roman" w:hAnsi="Times New Roman" w:eastAsia="仿宋" w:cs="Times New Roman"/>
          <w:color w:val="000000"/>
          <w:sz w:val="32"/>
          <w:szCs w:val="32"/>
        </w:rPr>
      </w:pPr>
      <w:r>
        <w:rPr>
          <w:rFonts w:hint="eastAsia" w:ascii="Times New Roman" w:hAnsi="Times New Roman" w:eastAsia="仿宋" w:cs="仿宋"/>
          <w:color w:val="000000"/>
          <w:sz w:val="32"/>
          <w:szCs w:val="32"/>
        </w:rPr>
        <w:t>本项指标从民政执法、民政诉讼方面进行考核。目标值的确定依据是《法治政府建设实施纲要（</w:t>
      </w:r>
      <w:r>
        <w:rPr>
          <w:rFonts w:ascii="Times New Roman" w:hAnsi="Times New Roman" w:eastAsia="仿宋" w:cs="Times New Roman"/>
          <w:color w:val="000000"/>
          <w:sz w:val="32"/>
          <w:szCs w:val="32"/>
        </w:rPr>
        <w:t>2015</w:t>
      </w:r>
      <w:r>
        <w:rPr>
          <w:rFonts w:hint="eastAsia" w:ascii="Times New Roman" w:hAnsi="Times New Roman" w:eastAsia="仿宋" w:cs="仿宋"/>
          <w:color w:val="000000"/>
          <w:sz w:val="32"/>
          <w:szCs w:val="32"/>
        </w:rPr>
        <w:t>－</w:t>
      </w:r>
      <w:r>
        <w:rPr>
          <w:rFonts w:ascii="Times New Roman" w:hAnsi="Times New Roman" w:eastAsia="仿宋" w:cs="Times New Roman"/>
          <w:color w:val="000000"/>
          <w:sz w:val="32"/>
          <w:szCs w:val="32"/>
        </w:rPr>
        <w:t>2020</w:t>
      </w:r>
      <w:r>
        <w:rPr>
          <w:rFonts w:hint="eastAsia" w:ascii="Times New Roman" w:hAnsi="Times New Roman" w:eastAsia="仿宋" w:cs="仿宋"/>
          <w:color w:val="000000"/>
          <w:sz w:val="32"/>
          <w:szCs w:val="32"/>
        </w:rPr>
        <w:t>年）》、《行政诉讼法》、《湖南省行政程序规定》、《湖南省民政厅关于全面推进民政法治建设的实施意见》、《湖南省民政厅关于印发＜湖南省法治民政建设方案（</w:t>
      </w:r>
      <w:r>
        <w:rPr>
          <w:rFonts w:ascii="Times New Roman" w:hAnsi="Times New Roman" w:eastAsia="仿宋" w:cs="Times New Roman"/>
          <w:color w:val="000000"/>
          <w:sz w:val="32"/>
          <w:szCs w:val="32"/>
        </w:rPr>
        <w:t>2017-2020</w:t>
      </w:r>
      <w:r>
        <w:rPr>
          <w:rFonts w:hint="eastAsia" w:ascii="Times New Roman" w:hAnsi="Times New Roman" w:eastAsia="仿宋" w:cs="仿宋"/>
          <w:color w:val="000000"/>
          <w:sz w:val="32"/>
          <w:szCs w:val="32"/>
        </w:rPr>
        <w:t>）＞的通知》、《湖南省人民政府办公厅关于加强和改进行政应诉工作的实施意见》等法律法规规章、政策文件。指标的评估方式是对被评估县市区民政局的工作制度、执法案卷进行抽查和核实。</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建立民政执法全过程记录制度</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占</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分，未建立的扣</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每年组织对社会组织、救助、殡葬、慈善等民政重点管理领域进行专项执法检查</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次以上</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占</w:t>
      </w:r>
      <w:r>
        <w:rPr>
          <w:rFonts w:ascii="Times New Roman" w:hAnsi="Times New Roman" w:eastAsia="仿宋" w:cs="Times New Roman"/>
          <w:color w:val="000000"/>
          <w:sz w:val="32"/>
          <w:szCs w:val="32"/>
        </w:rPr>
        <w:t>2</w:t>
      </w:r>
      <w:r>
        <w:rPr>
          <w:rFonts w:hint="eastAsia" w:ascii="Times New Roman" w:hAnsi="Times New Roman" w:eastAsia="仿宋" w:cs="仿宋"/>
          <w:color w:val="000000"/>
          <w:sz w:val="32"/>
          <w:szCs w:val="32"/>
        </w:rPr>
        <w:t>分，要求提供执法检查方案、执法检查案卷、执法案例，未实施的扣</w:t>
      </w:r>
      <w:r>
        <w:rPr>
          <w:rFonts w:ascii="Times New Roman" w:hAnsi="Times New Roman" w:eastAsia="仿宋" w:cs="Times New Roman"/>
          <w:color w:val="000000"/>
          <w:sz w:val="32"/>
          <w:szCs w:val="32"/>
        </w:rPr>
        <w:t>2</w:t>
      </w:r>
      <w:r>
        <w:rPr>
          <w:rFonts w:hint="eastAsia" w:ascii="Times New Roman" w:hAnsi="Times New Roman" w:eastAsia="仿宋" w:cs="仿宋"/>
          <w:color w:val="000000"/>
          <w:sz w:val="32"/>
          <w:szCs w:val="32"/>
        </w:rPr>
        <w:t>分。</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行政许可、行政处罚、行政给付、行政确认案卷规范合法</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占</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分，现场抽查被评估县市区的行政许可、行政处罚、行政给付、行政确认的工作案卷，存在执法文书不规范、执法档案整理不规范、执法程序不规范等情形的，每件扣</w:t>
      </w:r>
      <w:r>
        <w:rPr>
          <w:rFonts w:ascii="Times New Roman" w:hAnsi="Times New Roman" w:eastAsia="仿宋" w:cs="Times New Roman"/>
          <w:color w:val="000000"/>
          <w:sz w:val="32"/>
          <w:szCs w:val="32"/>
        </w:rPr>
        <w:t>0.2</w:t>
      </w:r>
      <w:r>
        <w:rPr>
          <w:rFonts w:hint="eastAsia" w:ascii="Times New Roman" w:hAnsi="Times New Roman" w:eastAsia="仿宋" w:cs="仿宋"/>
          <w:color w:val="000000"/>
          <w:sz w:val="32"/>
          <w:szCs w:val="32"/>
        </w:rPr>
        <w:t>分，扣完</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分为止。</w:t>
      </w:r>
      <w:r>
        <w:rPr>
          <w:rFonts w:ascii="Times New Roman" w:hAnsi="Times New Roman" w:eastAsia="仿宋" w:cs="Times New Roman"/>
          <w:color w:val="000000"/>
          <w:sz w:val="32"/>
          <w:szCs w:val="32"/>
        </w:rPr>
        <w:t xml:space="preserve"> “</w:t>
      </w:r>
      <w:r>
        <w:rPr>
          <w:rFonts w:hint="eastAsia" w:ascii="Times New Roman" w:hAnsi="Times New Roman" w:eastAsia="仿宋" w:cs="仿宋"/>
          <w:color w:val="000000"/>
          <w:sz w:val="32"/>
          <w:szCs w:val="32"/>
        </w:rPr>
        <w:t>建立民政部门负责人出庭应诉制度</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占</w:t>
      </w:r>
      <w:r>
        <w:rPr>
          <w:rFonts w:ascii="Times New Roman" w:hAnsi="Times New Roman" w:eastAsia="仿宋" w:cs="Times New Roman"/>
          <w:color w:val="000000"/>
          <w:sz w:val="32"/>
          <w:szCs w:val="32"/>
        </w:rPr>
        <w:t>2</w:t>
      </w:r>
      <w:r>
        <w:rPr>
          <w:rFonts w:hint="eastAsia" w:ascii="Times New Roman" w:hAnsi="Times New Roman" w:eastAsia="仿宋" w:cs="仿宋"/>
          <w:color w:val="000000"/>
          <w:sz w:val="32"/>
          <w:szCs w:val="32"/>
        </w:rPr>
        <w:t>分，评估方式为查阅被评估县市区民政局的相关文件、相关法律文书等，未出台局班子成员出庭应诉制度的扣</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分；有诉讼案件的，至少有</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件案件有局班子成员出庭应诉，未出庭的扣</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分；经核实，存在有诉讼案件但不提供相关材料的，扣</w:t>
      </w:r>
      <w:r>
        <w:rPr>
          <w:rFonts w:ascii="Times New Roman" w:hAnsi="Times New Roman" w:eastAsia="仿宋" w:cs="Times New Roman"/>
          <w:color w:val="000000"/>
          <w:sz w:val="32"/>
          <w:szCs w:val="32"/>
        </w:rPr>
        <w:t>2</w:t>
      </w:r>
      <w:r>
        <w:rPr>
          <w:rFonts w:hint="eastAsia" w:ascii="Times New Roman" w:hAnsi="Times New Roman" w:eastAsia="仿宋" w:cs="仿宋"/>
          <w:color w:val="000000"/>
          <w:sz w:val="32"/>
          <w:szCs w:val="32"/>
        </w:rPr>
        <w:t>分。</w:t>
      </w:r>
    </w:p>
    <w:tbl>
      <w:tblPr>
        <w:tblStyle w:val="7"/>
        <w:tblW w:w="8796"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56"/>
        <w:gridCol w:w="5954"/>
        <w:gridCol w:w="11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17" w:hRule="atLeast"/>
          <w:jc w:val="center"/>
        </w:trPr>
        <w:tc>
          <w:tcPr>
            <w:tcW w:w="1656" w:type="dxa"/>
            <w:vAlign w:val="center"/>
          </w:tcPr>
          <w:p>
            <w:pPr>
              <w:spacing w:line="400" w:lineRule="exact"/>
              <w:jc w:val="center"/>
              <w:rPr>
                <w:rFonts w:ascii="Times New Roman" w:hAnsi="Times New Roman" w:cs="Times New Roman"/>
                <w:color w:val="000000"/>
                <w:sz w:val="24"/>
                <w:szCs w:val="24"/>
              </w:rPr>
            </w:pPr>
            <w:r>
              <w:rPr>
                <w:rFonts w:hint="eastAsia" w:ascii="Times New Roman" w:hAnsi="Times New Roman" w:cs="宋体"/>
                <w:color w:val="000000"/>
                <w:sz w:val="24"/>
                <w:szCs w:val="24"/>
              </w:rPr>
              <w:t>（十一）</w:t>
            </w:r>
          </w:p>
        </w:tc>
        <w:tc>
          <w:tcPr>
            <w:tcW w:w="5954" w:type="dxa"/>
            <w:vAlign w:val="center"/>
          </w:tcPr>
          <w:p>
            <w:pPr>
              <w:spacing w:line="400" w:lineRule="exact"/>
              <w:rPr>
                <w:rFonts w:ascii="Times New Roman" w:hAnsi="Times New Roman" w:cs="Times New Roman"/>
                <w:color w:val="000000"/>
                <w:sz w:val="24"/>
                <w:szCs w:val="24"/>
              </w:rPr>
            </w:pPr>
            <w:r>
              <w:rPr>
                <w:rFonts w:hint="eastAsia" w:ascii="Times New Roman" w:hAnsi="Times New Roman" w:cs="宋体"/>
                <w:color w:val="000000"/>
                <w:sz w:val="24"/>
                <w:szCs w:val="24"/>
              </w:rPr>
              <w:t>建立并落实机关内部控制制度、政务公开制度，公布行政给付、行政确认、行政许可等事项的审批服务流程。</w:t>
            </w:r>
          </w:p>
        </w:tc>
        <w:tc>
          <w:tcPr>
            <w:tcW w:w="1186" w:type="dxa"/>
            <w:vAlign w:val="center"/>
          </w:tcPr>
          <w:p>
            <w:pPr>
              <w:spacing w:line="400" w:lineRule="exact"/>
              <w:jc w:val="center"/>
              <w:rPr>
                <w:rFonts w:ascii="Times New Roman" w:hAnsi="Times New Roman" w:cs="Times New Roman"/>
                <w:color w:val="000000"/>
                <w:sz w:val="24"/>
                <w:szCs w:val="24"/>
              </w:rPr>
            </w:pPr>
            <w:r>
              <w:rPr>
                <w:rFonts w:ascii="Times New Roman" w:hAnsi="Times New Roman" w:cs="Times New Roman"/>
                <w:color w:val="000000"/>
                <w:sz w:val="24"/>
                <w:szCs w:val="24"/>
              </w:rPr>
              <w:t>2</w:t>
            </w:r>
            <w:r>
              <w:rPr>
                <w:rFonts w:hint="eastAsia" w:ascii="Times New Roman" w:hAnsi="Times New Roman" w:cs="宋体"/>
                <w:color w:val="000000"/>
                <w:sz w:val="24"/>
                <w:szCs w:val="24"/>
              </w:rPr>
              <w:t>分</w:t>
            </w:r>
          </w:p>
        </w:tc>
      </w:tr>
    </w:tbl>
    <w:p>
      <w:pPr>
        <w:spacing w:line="580" w:lineRule="exact"/>
        <w:ind w:firstLine="640" w:firstLineChars="200"/>
        <w:rPr>
          <w:rFonts w:ascii="Times New Roman" w:hAnsi="Times New Roman" w:eastAsia="仿宋" w:cs="Times New Roman"/>
          <w:color w:val="000000"/>
          <w:sz w:val="32"/>
          <w:szCs w:val="32"/>
        </w:rPr>
      </w:pPr>
      <w:r>
        <w:rPr>
          <w:rFonts w:hint="eastAsia" w:ascii="Times New Roman" w:hAnsi="Times New Roman" w:eastAsia="仿宋" w:cs="仿宋"/>
          <w:color w:val="000000"/>
          <w:sz w:val="32"/>
          <w:szCs w:val="32"/>
        </w:rPr>
        <w:t>本项指标的主要内容是对内部标准的制定实施情况进行评估。目标值的主要依据《民政部、国家标准委关于加快推进民政标准化工作的意见》、《全国民政标准化</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十三五</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发展规划》、《湖南省人民政府关于深化标准化工作改革提升湖南标准化建设水平的实施意见》、《湖南省</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十三五</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民政事业发展规划》等文件。评估方式是查阅是否制定了内部控制制度、政务公开制度、各行政给付事项的服务流程、各行政确认事项的服务流程、各行政许可事项的服务流程等内部标准，并通过查阅资料和现场检查确认这些内部标准是否实施。每发现一项内部标准没有制定的，扣</w:t>
      </w:r>
      <w:r>
        <w:rPr>
          <w:rFonts w:ascii="Times New Roman" w:hAnsi="Times New Roman" w:eastAsia="仿宋" w:cs="Times New Roman"/>
          <w:color w:val="000000"/>
          <w:sz w:val="32"/>
          <w:szCs w:val="32"/>
        </w:rPr>
        <w:t>0.5</w:t>
      </w:r>
      <w:r>
        <w:rPr>
          <w:rFonts w:hint="eastAsia" w:ascii="Times New Roman" w:hAnsi="Times New Roman" w:eastAsia="仿宋" w:cs="仿宋"/>
          <w:color w:val="000000"/>
          <w:sz w:val="32"/>
          <w:szCs w:val="32"/>
        </w:rPr>
        <w:t>分，扣完</w:t>
      </w:r>
      <w:r>
        <w:rPr>
          <w:rFonts w:ascii="Times New Roman" w:hAnsi="Times New Roman" w:eastAsia="仿宋" w:cs="Times New Roman"/>
          <w:color w:val="000000"/>
          <w:sz w:val="32"/>
          <w:szCs w:val="32"/>
        </w:rPr>
        <w:t>2</w:t>
      </w:r>
      <w:r>
        <w:rPr>
          <w:rFonts w:hint="eastAsia" w:ascii="Times New Roman" w:hAnsi="Times New Roman" w:eastAsia="仿宋" w:cs="仿宋"/>
          <w:color w:val="000000"/>
          <w:sz w:val="32"/>
          <w:szCs w:val="32"/>
        </w:rPr>
        <w:t>分为止。</w:t>
      </w:r>
    </w:p>
    <w:p>
      <w:pPr>
        <w:spacing w:line="580" w:lineRule="exact"/>
        <w:ind w:firstLine="643" w:firstLineChars="200"/>
        <w:jc w:val="left"/>
        <w:rPr>
          <w:rFonts w:ascii="楷体_GB2312" w:hAnsi="Times New Roman" w:eastAsia="楷体_GB2312" w:cs="Times New Roman"/>
          <w:b/>
          <w:bCs/>
          <w:color w:val="000000"/>
          <w:sz w:val="32"/>
          <w:szCs w:val="32"/>
        </w:rPr>
      </w:pPr>
      <w:r>
        <w:rPr>
          <w:rFonts w:hint="eastAsia" w:ascii="楷体_GB2312" w:hAnsi="Times New Roman" w:eastAsia="楷体_GB2312" w:cs="楷体_GB2312"/>
          <w:b/>
          <w:bCs/>
          <w:color w:val="000000"/>
          <w:kern w:val="0"/>
          <w:sz w:val="32"/>
          <w:szCs w:val="32"/>
        </w:rPr>
        <w:t>（三）标准化</w:t>
      </w:r>
    </w:p>
    <w:tbl>
      <w:tblPr>
        <w:tblStyle w:val="7"/>
        <w:tblW w:w="876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32"/>
        <w:gridCol w:w="5798"/>
        <w:gridCol w:w="12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06" w:hRule="atLeast"/>
          <w:jc w:val="center"/>
        </w:trPr>
        <w:tc>
          <w:tcPr>
            <w:tcW w:w="1732" w:type="dxa"/>
            <w:vAlign w:val="center"/>
          </w:tcPr>
          <w:p>
            <w:pPr>
              <w:spacing w:line="440" w:lineRule="exact"/>
              <w:jc w:val="center"/>
              <w:rPr>
                <w:rFonts w:ascii="Times New Roman" w:hAnsi="Times New Roman" w:cs="Times New Roman"/>
                <w:color w:val="000000"/>
                <w:sz w:val="24"/>
                <w:szCs w:val="24"/>
              </w:rPr>
            </w:pPr>
            <w:r>
              <w:rPr>
                <w:rFonts w:hint="eastAsia" w:ascii="Times New Roman" w:hAnsi="Times New Roman" w:cs="宋体"/>
                <w:color w:val="000000"/>
                <w:sz w:val="24"/>
                <w:szCs w:val="24"/>
              </w:rPr>
              <w:t>（十二）</w:t>
            </w:r>
          </w:p>
        </w:tc>
        <w:tc>
          <w:tcPr>
            <w:tcW w:w="5798" w:type="dxa"/>
            <w:vAlign w:val="center"/>
          </w:tcPr>
          <w:p>
            <w:pPr>
              <w:spacing w:line="440" w:lineRule="exact"/>
              <w:rPr>
                <w:rFonts w:ascii="Times New Roman" w:hAnsi="Times New Roman" w:cs="Times New Roman"/>
                <w:color w:val="000000"/>
                <w:sz w:val="24"/>
                <w:szCs w:val="24"/>
              </w:rPr>
            </w:pPr>
            <w:r>
              <w:rPr>
                <w:rFonts w:hint="eastAsia" w:ascii="Times New Roman" w:hAnsi="Times New Roman" w:cs="宋体"/>
                <w:color w:val="000000"/>
                <w:sz w:val="24"/>
                <w:szCs w:val="24"/>
              </w:rPr>
              <w:t>贯彻落实《养老机构服务质量基本规范》，开展养老机构等级评估和养老机构内老年人能力评估。</w:t>
            </w:r>
          </w:p>
        </w:tc>
        <w:tc>
          <w:tcPr>
            <w:tcW w:w="1238" w:type="dxa"/>
            <w:vAlign w:val="center"/>
          </w:tcPr>
          <w:p>
            <w:pPr>
              <w:spacing w:line="440" w:lineRule="exact"/>
              <w:jc w:val="center"/>
              <w:rPr>
                <w:rFonts w:ascii="Times New Roman" w:hAnsi="Times New Roman" w:cs="Times New Roman"/>
                <w:color w:val="000000"/>
                <w:sz w:val="24"/>
                <w:szCs w:val="24"/>
              </w:rPr>
            </w:pPr>
            <w:r>
              <w:rPr>
                <w:rFonts w:ascii="Times New Roman" w:hAnsi="Times New Roman" w:cs="Times New Roman"/>
                <w:color w:val="000000"/>
                <w:sz w:val="24"/>
                <w:szCs w:val="24"/>
              </w:rPr>
              <w:t>2</w:t>
            </w:r>
            <w:r>
              <w:rPr>
                <w:rFonts w:hint="eastAsia" w:ascii="Times New Roman" w:hAnsi="Times New Roman" w:cs="宋体"/>
                <w:color w:val="000000"/>
                <w:sz w:val="24"/>
                <w:szCs w:val="24"/>
              </w:rPr>
              <w:t>分</w:t>
            </w:r>
          </w:p>
        </w:tc>
      </w:tr>
    </w:tbl>
    <w:p>
      <w:pPr>
        <w:spacing w:line="580" w:lineRule="exact"/>
        <w:ind w:firstLine="640" w:firstLineChars="200"/>
        <w:rPr>
          <w:rFonts w:ascii="Times New Roman" w:hAnsi="Times New Roman" w:eastAsia="仿宋" w:cs="Times New Roman"/>
          <w:color w:val="000000"/>
          <w:sz w:val="32"/>
          <w:szCs w:val="32"/>
        </w:rPr>
      </w:pPr>
      <w:r>
        <w:rPr>
          <w:rFonts w:hint="eastAsia" w:ascii="Times New Roman" w:hAnsi="Times New Roman" w:eastAsia="仿宋" w:cs="仿宋"/>
          <w:color w:val="000000"/>
          <w:sz w:val="32"/>
          <w:szCs w:val="32"/>
        </w:rPr>
        <w:t>本项指标从养老机构标准化方面进行评估。目标值确定依据主要是《民政事业发展第十三个五年规划》、《</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十三五</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国家老龄事业发展和养老体系建设规划》、《湖南省</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十三五</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民政事业发展规划》和养老服务质量建设专项行动相关要求。</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贯彻落实《养老机构服务质量基本规范》</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占</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分，未出台贯彻实施《养老机构服务质量基本规范》文件的扣</w:t>
      </w:r>
      <w:r>
        <w:rPr>
          <w:rFonts w:ascii="Times New Roman" w:hAnsi="Times New Roman" w:eastAsia="仿宋" w:cs="Times New Roman"/>
          <w:color w:val="000000"/>
          <w:sz w:val="32"/>
          <w:szCs w:val="32"/>
        </w:rPr>
        <w:t>0.2</w:t>
      </w:r>
      <w:r>
        <w:rPr>
          <w:rFonts w:hint="eastAsia" w:ascii="Times New Roman" w:hAnsi="Times New Roman" w:eastAsia="仿宋" w:cs="仿宋"/>
          <w:color w:val="000000"/>
          <w:sz w:val="32"/>
          <w:szCs w:val="32"/>
        </w:rPr>
        <w:t>分，未开展辖区内养老机构贯彻实施《养老机构服务质量基本规范》专项行动的扣</w:t>
      </w:r>
      <w:r>
        <w:rPr>
          <w:rFonts w:ascii="Times New Roman" w:hAnsi="Times New Roman" w:eastAsia="仿宋" w:cs="Times New Roman"/>
          <w:color w:val="000000"/>
          <w:sz w:val="32"/>
          <w:szCs w:val="32"/>
        </w:rPr>
        <w:t>0.2</w:t>
      </w:r>
      <w:r>
        <w:rPr>
          <w:rFonts w:hint="eastAsia" w:ascii="Times New Roman" w:hAnsi="Times New Roman" w:eastAsia="仿宋" w:cs="仿宋"/>
          <w:color w:val="000000"/>
          <w:sz w:val="32"/>
          <w:szCs w:val="32"/>
        </w:rPr>
        <w:t>分，未建立养老机构台账和问题清单的扣</w:t>
      </w:r>
      <w:r>
        <w:rPr>
          <w:rFonts w:ascii="Times New Roman" w:hAnsi="Times New Roman" w:eastAsia="仿宋" w:cs="Times New Roman"/>
          <w:color w:val="000000"/>
          <w:sz w:val="32"/>
          <w:szCs w:val="32"/>
        </w:rPr>
        <w:t>0.3</w:t>
      </w:r>
      <w:r>
        <w:rPr>
          <w:rFonts w:hint="eastAsia" w:ascii="Times New Roman" w:hAnsi="Times New Roman" w:eastAsia="仿宋" w:cs="仿宋"/>
          <w:color w:val="000000"/>
          <w:sz w:val="32"/>
          <w:szCs w:val="32"/>
        </w:rPr>
        <w:t>分，养老机构未按照问题清单制定整改措施，或整改措施不明显的扣</w:t>
      </w:r>
      <w:r>
        <w:rPr>
          <w:rFonts w:ascii="Times New Roman" w:hAnsi="Times New Roman" w:eastAsia="仿宋" w:cs="Times New Roman"/>
          <w:color w:val="000000"/>
          <w:sz w:val="32"/>
          <w:szCs w:val="32"/>
        </w:rPr>
        <w:t>0.3</w:t>
      </w:r>
      <w:r>
        <w:rPr>
          <w:rFonts w:hint="eastAsia" w:ascii="Times New Roman" w:hAnsi="Times New Roman" w:eastAsia="仿宋" w:cs="仿宋"/>
          <w:color w:val="000000"/>
          <w:sz w:val="32"/>
          <w:szCs w:val="32"/>
        </w:rPr>
        <w:t>分。</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开展养老机构等级评估和养老机构内老年人能力评估</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占</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分，有</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家未开展的扣</w:t>
      </w:r>
      <w:r>
        <w:rPr>
          <w:rFonts w:ascii="Times New Roman" w:hAnsi="Times New Roman" w:eastAsia="仿宋" w:cs="Times New Roman"/>
          <w:color w:val="000000"/>
          <w:sz w:val="32"/>
          <w:szCs w:val="32"/>
        </w:rPr>
        <w:t>0.2</w:t>
      </w:r>
      <w:r>
        <w:rPr>
          <w:rFonts w:hint="eastAsia" w:ascii="Times New Roman" w:hAnsi="Times New Roman" w:eastAsia="仿宋" w:cs="仿宋"/>
          <w:color w:val="000000"/>
          <w:sz w:val="32"/>
          <w:szCs w:val="32"/>
        </w:rPr>
        <w:t>分，扣完</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分为止。</w:t>
      </w:r>
    </w:p>
    <w:tbl>
      <w:tblPr>
        <w:tblStyle w:val="7"/>
        <w:tblW w:w="8714"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32"/>
        <w:gridCol w:w="5798"/>
        <w:gridCol w:w="11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25" w:hRule="atLeast"/>
          <w:jc w:val="center"/>
        </w:trPr>
        <w:tc>
          <w:tcPr>
            <w:tcW w:w="1732" w:type="dxa"/>
            <w:vAlign w:val="center"/>
          </w:tcPr>
          <w:p>
            <w:pPr>
              <w:spacing w:line="400" w:lineRule="exact"/>
              <w:jc w:val="center"/>
              <w:rPr>
                <w:rFonts w:ascii="Times New Roman" w:hAnsi="Times New Roman" w:cs="Times New Roman"/>
                <w:color w:val="000000"/>
                <w:sz w:val="24"/>
                <w:szCs w:val="24"/>
              </w:rPr>
            </w:pPr>
            <w:r>
              <w:rPr>
                <w:rFonts w:hint="eastAsia" w:ascii="Times New Roman" w:hAnsi="Times New Roman" w:cs="宋体"/>
                <w:color w:val="000000"/>
                <w:sz w:val="24"/>
                <w:szCs w:val="24"/>
              </w:rPr>
              <w:t>（十三）</w:t>
            </w:r>
          </w:p>
        </w:tc>
        <w:tc>
          <w:tcPr>
            <w:tcW w:w="5798" w:type="dxa"/>
            <w:vAlign w:val="center"/>
          </w:tcPr>
          <w:p>
            <w:pPr>
              <w:spacing w:line="400" w:lineRule="exact"/>
              <w:rPr>
                <w:rFonts w:ascii="Times New Roman" w:hAnsi="Times New Roman" w:cs="Times New Roman"/>
                <w:color w:val="000000"/>
                <w:sz w:val="24"/>
                <w:szCs w:val="24"/>
              </w:rPr>
            </w:pPr>
            <w:r>
              <w:rPr>
                <w:rFonts w:hint="eastAsia" w:ascii="Times New Roman" w:hAnsi="Times New Roman" w:cs="宋体"/>
                <w:color w:val="000000"/>
                <w:sz w:val="24"/>
                <w:szCs w:val="24"/>
              </w:rPr>
              <w:t>儿童福利机构按标准建设，功能区域设置齐全，儿童生活及活动区域实现无障碍环境，安装视频监控系统。</w:t>
            </w:r>
          </w:p>
        </w:tc>
        <w:tc>
          <w:tcPr>
            <w:tcW w:w="1184" w:type="dxa"/>
            <w:vAlign w:val="center"/>
          </w:tcPr>
          <w:p>
            <w:pPr>
              <w:spacing w:line="400" w:lineRule="exact"/>
              <w:jc w:val="center"/>
              <w:rPr>
                <w:rFonts w:ascii="Times New Roman" w:hAnsi="Times New Roman" w:cs="Times New Roman"/>
                <w:color w:val="000000"/>
                <w:sz w:val="24"/>
                <w:szCs w:val="24"/>
              </w:rPr>
            </w:pPr>
            <w:r>
              <w:rPr>
                <w:rFonts w:ascii="Times New Roman" w:hAnsi="Times New Roman" w:cs="Times New Roman"/>
                <w:color w:val="000000"/>
                <w:sz w:val="24"/>
                <w:szCs w:val="24"/>
              </w:rPr>
              <w:t>2</w:t>
            </w:r>
            <w:r>
              <w:rPr>
                <w:rFonts w:hint="eastAsia" w:ascii="Times New Roman" w:hAnsi="Times New Roman" w:cs="宋体"/>
                <w:color w:val="000000"/>
                <w:sz w:val="24"/>
                <w:szCs w:val="24"/>
              </w:rPr>
              <w:t>分</w:t>
            </w:r>
          </w:p>
        </w:tc>
      </w:tr>
    </w:tbl>
    <w:p>
      <w:pPr>
        <w:spacing w:line="590" w:lineRule="exact"/>
        <w:ind w:firstLine="640" w:firstLineChars="200"/>
        <w:rPr>
          <w:rFonts w:ascii="Times New Roman" w:hAnsi="Times New Roman" w:eastAsia="仿宋" w:cs="Times New Roman"/>
          <w:color w:val="000000"/>
          <w:sz w:val="32"/>
          <w:szCs w:val="32"/>
        </w:rPr>
      </w:pPr>
      <w:r>
        <w:rPr>
          <w:rFonts w:hint="eastAsia" w:ascii="Times New Roman" w:hAnsi="Times New Roman" w:eastAsia="仿宋" w:cs="仿宋"/>
          <w:color w:val="000000"/>
          <w:sz w:val="32"/>
          <w:szCs w:val="32"/>
        </w:rPr>
        <w:t>本项指标从儿童福利机构方面进行评估。目标值的确定依据主要是《民政事业发展第十三个五年规划》、《湖南省</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十三五</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民政事业发展规划》、《儿童福利机构设施建设指导意见（试行）》、《儿童福利机构管理办法》、《中华人民共和国行业标准儿童社会福利机构基本规范》。</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功能区域设置齐全</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占</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分，即设置服务必需的起居室、活动室、医疗室、康复室、档案室、厨房、餐厅、值班室、卫生间、储藏室、洗衣房、垃圾处理场所等功能区域，缺少</w:t>
      </w:r>
      <w:r>
        <w:rPr>
          <w:rFonts w:ascii="Times New Roman" w:hAnsi="Times New Roman" w:eastAsia="仿宋" w:cs="Times New Roman"/>
          <w:color w:val="000000"/>
          <w:sz w:val="32"/>
          <w:szCs w:val="32"/>
        </w:rPr>
        <w:t>2</w:t>
      </w:r>
      <w:r>
        <w:rPr>
          <w:rFonts w:hint="eastAsia" w:ascii="Times New Roman" w:hAnsi="Times New Roman" w:eastAsia="仿宋" w:cs="仿宋"/>
          <w:color w:val="000000"/>
          <w:sz w:val="32"/>
          <w:szCs w:val="32"/>
        </w:rPr>
        <w:t>项以上（含</w:t>
      </w:r>
      <w:r>
        <w:rPr>
          <w:rFonts w:ascii="Times New Roman" w:hAnsi="Times New Roman" w:eastAsia="仿宋" w:cs="Times New Roman"/>
          <w:color w:val="000000"/>
          <w:sz w:val="32"/>
          <w:szCs w:val="32"/>
        </w:rPr>
        <w:t>2</w:t>
      </w:r>
      <w:r>
        <w:rPr>
          <w:rFonts w:hint="eastAsia" w:ascii="Times New Roman" w:hAnsi="Times New Roman" w:eastAsia="仿宋" w:cs="仿宋"/>
          <w:color w:val="000000"/>
          <w:sz w:val="32"/>
          <w:szCs w:val="32"/>
        </w:rPr>
        <w:t>项）扣</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儿童生活及活动区域实现无障碍环境</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占</w:t>
      </w:r>
      <w:r>
        <w:rPr>
          <w:rFonts w:ascii="Times New Roman" w:hAnsi="Times New Roman" w:eastAsia="仿宋" w:cs="Times New Roman"/>
          <w:color w:val="000000"/>
          <w:sz w:val="32"/>
          <w:szCs w:val="32"/>
        </w:rPr>
        <w:t>0.5</w:t>
      </w:r>
      <w:r>
        <w:rPr>
          <w:rFonts w:hint="eastAsia" w:ascii="Times New Roman" w:hAnsi="Times New Roman" w:eastAsia="仿宋" w:cs="仿宋"/>
          <w:color w:val="000000"/>
          <w:sz w:val="32"/>
          <w:szCs w:val="32"/>
        </w:rPr>
        <w:t>分，即起居室、活动室、医疗室、康复室、楼道、洗手间、坡道等区域实现无障碍环境，有</w:t>
      </w:r>
      <w:r>
        <w:rPr>
          <w:rFonts w:ascii="Times New Roman" w:hAnsi="Times New Roman" w:eastAsia="仿宋" w:cs="Times New Roman"/>
          <w:color w:val="000000"/>
          <w:sz w:val="32"/>
          <w:szCs w:val="32"/>
        </w:rPr>
        <w:t>2</w:t>
      </w:r>
      <w:r>
        <w:rPr>
          <w:rFonts w:hint="eastAsia" w:ascii="Times New Roman" w:hAnsi="Times New Roman" w:eastAsia="仿宋" w:cs="仿宋"/>
          <w:color w:val="000000"/>
          <w:sz w:val="32"/>
          <w:szCs w:val="32"/>
        </w:rPr>
        <w:t>处以上（含</w:t>
      </w:r>
      <w:r>
        <w:rPr>
          <w:rFonts w:ascii="Times New Roman" w:hAnsi="Times New Roman" w:eastAsia="仿宋" w:cs="Times New Roman"/>
          <w:color w:val="000000"/>
          <w:sz w:val="32"/>
          <w:szCs w:val="32"/>
        </w:rPr>
        <w:t>2</w:t>
      </w:r>
      <w:r>
        <w:rPr>
          <w:rFonts w:hint="eastAsia" w:ascii="Times New Roman" w:hAnsi="Times New Roman" w:eastAsia="仿宋" w:cs="仿宋"/>
          <w:color w:val="000000"/>
          <w:sz w:val="32"/>
          <w:szCs w:val="32"/>
        </w:rPr>
        <w:t>处）未实现无障碍环境的扣</w:t>
      </w:r>
      <w:r>
        <w:rPr>
          <w:rFonts w:ascii="Times New Roman" w:hAnsi="Times New Roman" w:eastAsia="仿宋" w:cs="Times New Roman"/>
          <w:color w:val="000000"/>
          <w:sz w:val="32"/>
          <w:szCs w:val="32"/>
        </w:rPr>
        <w:t>0.5</w:t>
      </w:r>
      <w:r>
        <w:rPr>
          <w:rFonts w:hint="eastAsia" w:ascii="Times New Roman" w:hAnsi="Times New Roman" w:eastAsia="仿宋" w:cs="仿宋"/>
          <w:color w:val="000000"/>
          <w:sz w:val="32"/>
          <w:szCs w:val="32"/>
        </w:rPr>
        <w:t>分。</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安装视频监控系统</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占</w:t>
      </w:r>
      <w:r>
        <w:rPr>
          <w:rFonts w:ascii="Times New Roman" w:hAnsi="Times New Roman" w:eastAsia="仿宋" w:cs="Times New Roman"/>
          <w:color w:val="000000"/>
          <w:sz w:val="32"/>
          <w:szCs w:val="32"/>
        </w:rPr>
        <w:t>0.5</w:t>
      </w:r>
      <w:r>
        <w:rPr>
          <w:rFonts w:hint="eastAsia" w:ascii="Times New Roman" w:hAnsi="Times New Roman" w:eastAsia="仿宋" w:cs="仿宋"/>
          <w:color w:val="000000"/>
          <w:sz w:val="32"/>
          <w:szCs w:val="32"/>
        </w:rPr>
        <w:t>分，即在在各出入口、接待大厅、楼道、食堂等公共区域、观察室及婴幼儿居室等特殊区域安装具有存储功能的视频监控系统，监控录像资料保存期不少于</w:t>
      </w:r>
      <w:r>
        <w:rPr>
          <w:rFonts w:ascii="Times New Roman" w:hAnsi="Times New Roman" w:eastAsia="仿宋" w:cs="Times New Roman"/>
          <w:color w:val="000000"/>
          <w:sz w:val="32"/>
          <w:szCs w:val="32"/>
        </w:rPr>
        <w:t>3</w:t>
      </w:r>
      <w:r>
        <w:rPr>
          <w:rFonts w:hint="eastAsia" w:ascii="Times New Roman" w:hAnsi="Times New Roman" w:eastAsia="仿宋" w:cs="仿宋"/>
          <w:color w:val="000000"/>
          <w:sz w:val="32"/>
          <w:szCs w:val="32"/>
        </w:rPr>
        <w:t>个月，载有特殊、重要资料的存储介质应当归档保存，评估方式为现场查看视频资料，有</w:t>
      </w:r>
      <w:r>
        <w:rPr>
          <w:rFonts w:ascii="Times New Roman" w:hAnsi="Times New Roman" w:eastAsia="仿宋" w:cs="Times New Roman"/>
          <w:color w:val="000000"/>
          <w:sz w:val="32"/>
          <w:szCs w:val="32"/>
        </w:rPr>
        <w:t>2</w:t>
      </w:r>
      <w:r>
        <w:rPr>
          <w:rFonts w:hint="eastAsia" w:ascii="Times New Roman" w:hAnsi="Times New Roman" w:eastAsia="仿宋" w:cs="仿宋"/>
          <w:color w:val="000000"/>
          <w:sz w:val="32"/>
          <w:szCs w:val="32"/>
        </w:rPr>
        <w:t>处以上（含</w:t>
      </w:r>
      <w:r>
        <w:rPr>
          <w:rFonts w:ascii="Times New Roman" w:hAnsi="Times New Roman" w:eastAsia="仿宋" w:cs="Times New Roman"/>
          <w:color w:val="000000"/>
          <w:sz w:val="32"/>
          <w:szCs w:val="32"/>
        </w:rPr>
        <w:t>2</w:t>
      </w:r>
      <w:r>
        <w:rPr>
          <w:rFonts w:hint="eastAsia" w:ascii="Times New Roman" w:hAnsi="Times New Roman" w:eastAsia="仿宋" w:cs="仿宋"/>
          <w:color w:val="000000"/>
          <w:sz w:val="32"/>
          <w:szCs w:val="32"/>
        </w:rPr>
        <w:t>处）不达标的扣</w:t>
      </w:r>
      <w:r>
        <w:rPr>
          <w:rFonts w:ascii="Times New Roman" w:hAnsi="Times New Roman" w:eastAsia="仿宋" w:cs="Times New Roman"/>
          <w:color w:val="000000"/>
          <w:sz w:val="32"/>
          <w:szCs w:val="32"/>
        </w:rPr>
        <w:t xml:space="preserve"> 0.5</w:t>
      </w:r>
      <w:r>
        <w:rPr>
          <w:rFonts w:hint="eastAsia" w:ascii="Times New Roman" w:hAnsi="Times New Roman" w:eastAsia="仿宋" w:cs="仿宋"/>
          <w:color w:val="000000"/>
          <w:sz w:val="32"/>
          <w:szCs w:val="32"/>
        </w:rPr>
        <w:t>分。符合条件可以不建儿童福利机构的，本项不扣分。</w:t>
      </w:r>
    </w:p>
    <w:tbl>
      <w:tblPr>
        <w:tblStyle w:val="7"/>
        <w:tblW w:w="8796"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60"/>
        <w:gridCol w:w="5798"/>
        <w:gridCol w:w="12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760" w:type="dxa"/>
            <w:vAlign w:val="center"/>
          </w:tcPr>
          <w:p>
            <w:pPr>
              <w:spacing w:line="400" w:lineRule="exact"/>
              <w:jc w:val="center"/>
              <w:rPr>
                <w:rFonts w:ascii="Times New Roman" w:hAnsi="Times New Roman" w:cs="Times New Roman"/>
                <w:color w:val="000000"/>
                <w:sz w:val="24"/>
                <w:szCs w:val="24"/>
              </w:rPr>
            </w:pPr>
            <w:r>
              <w:rPr>
                <w:rFonts w:hint="eastAsia" w:ascii="Times New Roman" w:hAnsi="Times New Roman" w:cs="宋体"/>
                <w:color w:val="000000"/>
                <w:sz w:val="24"/>
                <w:szCs w:val="24"/>
              </w:rPr>
              <w:t>（十四）</w:t>
            </w:r>
          </w:p>
        </w:tc>
        <w:tc>
          <w:tcPr>
            <w:tcW w:w="5798" w:type="dxa"/>
            <w:vAlign w:val="center"/>
          </w:tcPr>
          <w:p>
            <w:pPr>
              <w:spacing w:line="400" w:lineRule="exact"/>
              <w:rPr>
                <w:rFonts w:ascii="Times New Roman" w:hAnsi="Times New Roman" w:cs="Times New Roman"/>
                <w:color w:val="000000"/>
                <w:sz w:val="24"/>
                <w:szCs w:val="24"/>
              </w:rPr>
            </w:pPr>
            <w:r>
              <w:rPr>
                <w:rFonts w:hint="eastAsia" w:ascii="Times New Roman" w:hAnsi="Times New Roman" w:cs="宋体"/>
                <w:color w:val="000000"/>
                <w:sz w:val="24"/>
                <w:szCs w:val="24"/>
              </w:rPr>
              <w:t>年内新建</w:t>
            </w:r>
            <w:r>
              <w:rPr>
                <w:rFonts w:ascii="Times New Roman" w:hAnsi="Times New Roman" w:cs="Times New Roman"/>
                <w:color w:val="000000"/>
                <w:sz w:val="24"/>
                <w:szCs w:val="24"/>
              </w:rPr>
              <w:t>10</w:t>
            </w:r>
            <w:r>
              <w:rPr>
                <w:rFonts w:hint="eastAsia" w:ascii="Times New Roman" w:hAnsi="Times New Roman" w:cs="宋体"/>
                <w:color w:val="000000"/>
                <w:sz w:val="24"/>
                <w:szCs w:val="24"/>
              </w:rPr>
              <w:t>个以上村（社区）示范性儿童之家，建设面积达到相关标准，功能区设置齐全，制度完备、档案健全。</w:t>
            </w:r>
            <w:r>
              <w:rPr>
                <w:rFonts w:ascii="Times New Roman" w:hAnsi="Times New Roman" w:cs="Times New Roman"/>
                <w:color w:val="000000"/>
                <w:sz w:val="24"/>
                <w:szCs w:val="24"/>
              </w:rPr>
              <w:t>2019</w:t>
            </w:r>
            <w:r>
              <w:rPr>
                <w:rFonts w:hint="eastAsia" w:ascii="Times New Roman" w:hAnsi="Times New Roman" w:cs="宋体"/>
                <w:color w:val="000000"/>
                <w:sz w:val="24"/>
                <w:szCs w:val="24"/>
              </w:rPr>
              <w:t>年村级儿童之家覆盖率达到</w:t>
            </w:r>
            <w:r>
              <w:rPr>
                <w:rFonts w:ascii="Times New Roman" w:hAnsi="Times New Roman" w:cs="Times New Roman"/>
                <w:color w:val="000000"/>
                <w:sz w:val="24"/>
                <w:szCs w:val="24"/>
              </w:rPr>
              <w:t>90%</w:t>
            </w:r>
            <w:r>
              <w:rPr>
                <w:rFonts w:hint="eastAsia" w:ascii="Times New Roman" w:hAnsi="Times New Roman" w:cs="宋体"/>
                <w:color w:val="000000"/>
                <w:sz w:val="24"/>
                <w:szCs w:val="24"/>
              </w:rPr>
              <w:t>。</w:t>
            </w:r>
          </w:p>
        </w:tc>
        <w:tc>
          <w:tcPr>
            <w:tcW w:w="1238" w:type="dxa"/>
            <w:vAlign w:val="center"/>
          </w:tcPr>
          <w:p>
            <w:pPr>
              <w:spacing w:line="400" w:lineRule="exact"/>
              <w:jc w:val="center"/>
              <w:rPr>
                <w:rFonts w:ascii="Times New Roman" w:hAnsi="Times New Roman" w:cs="Times New Roman"/>
                <w:color w:val="000000"/>
                <w:sz w:val="24"/>
                <w:szCs w:val="24"/>
              </w:rPr>
            </w:pPr>
            <w:r>
              <w:rPr>
                <w:rFonts w:ascii="Times New Roman" w:hAnsi="Times New Roman" w:cs="Times New Roman"/>
                <w:color w:val="000000"/>
                <w:sz w:val="24"/>
                <w:szCs w:val="24"/>
              </w:rPr>
              <w:t>5</w:t>
            </w:r>
            <w:r>
              <w:rPr>
                <w:rFonts w:hint="eastAsia" w:ascii="Times New Roman" w:hAnsi="Times New Roman" w:cs="宋体"/>
                <w:color w:val="000000"/>
                <w:sz w:val="24"/>
                <w:szCs w:val="24"/>
              </w:rPr>
              <w:t>分</w:t>
            </w:r>
          </w:p>
        </w:tc>
      </w:tr>
    </w:tbl>
    <w:p>
      <w:pPr>
        <w:spacing w:line="580" w:lineRule="exact"/>
        <w:ind w:firstLine="640" w:firstLineChars="200"/>
        <w:rPr>
          <w:rFonts w:ascii="Times New Roman" w:hAnsi="Times New Roman" w:eastAsia="仿宋" w:cs="Times New Roman"/>
          <w:color w:val="000000"/>
          <w:sz w:val="32"/>
          <w:szCs w:val="32"/>
        </w:rPr>
      </w:pPr>
      <w:r>
        <w:rPr>
          <w:rFonts w:hint="eastAsia" w:ascii="Times New Roman" w:hAnsi="Times New Roman" w:eastAsia="仿宋" w:cs="仿宋"/>
          <w:color w:val="000000"/>
          <w:sz w:val="32"/>
          <w:szCs w:val="32"/>
        </w:rPr>
        <w:t>本项指标从示范性儿童之家方面进行评估。目标值的确定依据主要是《民政事业发展第十三个五年规划》、《湖南省</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十三五</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民政事业发展规划》、《湖南省人民政府关于加强农村留守儿童关爱保护工作的实施意见》、《湖南省民政厅关于印发＜湖南省农村留守儿童关爱保护机构（儿童之家）建设标准＞的通知》。</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年内新建</w:t>
      </w:r>
      <w:r>
        <w:rPr>
          <w:rFonts w:ascii="Times New Roman" w:hAnsi="Times New Roman" w:eastAsia="仿宋" w:cs="Times New Roman"/>
          <w:color w:val="000000"/>
          <w:sz w:val="32"/>
          <w:szCs w:val="32"/>
        </w:rPr>
        <w:t>10</w:t>
      </w:r>
      <w:r>
        <w:rPr>
          <w:rFonts w:hint="eastAsia" w:ascii="Times New Roman" w:hAnsi="Times New Roman" w:eastAsia="仿宋" w:cs="仿宋"/>
          <w:color w:val="000000"/>
          <w:sz w:val="32"/>
          <w:szCs w:val="32"/>
        </w:rPr>
        <w:t>个以上村（社区）示范性儿童之家</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占</w:t>
      </w:r>
      <w:r>
        <w:rPr>
          <w:rFonts w:ascii="Times New Roman" w:hAnsi="Times New Roman" w:eastAsia="仿宋" w:cs="Times New Roman"/>
          <w:color w:val="000000"/>
          <w:sz w:val="32"/>
          <w:szCs w:val="32"/>
        </w:rPr>
        <w:t xml:space="preserve">1 </w:t>
      </w:r>
      <w:r>
        <w:rPr>
          <w:rFonts w:hint="eastAsia" w:ascii="Times New Roman" w:hAnsi="Times New Roman" w:eastAsia="仿宋" w:cs="仿宋"/>
          <w:color w:val="000000"/>
          <w:sz w:val="32"/>
          <w:szCs w:val="32"/>
        </w:rPr>
        <w:t>分，评估方式为现场查看县市区新建儿童之家，每年新建</w:t>
      </w:r>
      <w:r>
        <w:rPr>
          <w:rFonts w:ascii="Times New Roman" w:hAnsi="Times New Roman" w:eastAsia="仿宋" w:cs="Times New Roman"/>
          <w:color w:val="000000"/>
          <w:sz w:val="32"/>
          <w:szCs w:val="32"/>
        </w:rPr>
        <w:t>10</w:t>
      </w:r>
      <w:r>
        <w:rPr>
          <w:rFonts w:hint="eastAsia" w:ascii="Times New Roman" w:hAnsi="Times New Roman" w:eastAsia="仿宋" w:cs="仿宋"/>
          <w:color w:val="000000"/>
          <w:sz w:val="32"/>
          <w:szCs w:val="32"/>
        </w:rPr>
        <w:t>个且具有示范作用的不扣分，每少建</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个扣</w:t>
      </w:r>
      <w:r>
        <w:rPr>
          <w:rFonts w:ascii="Times New Roman" w:hAnsi="Times New Roman" w:eastAsia="仿宋" w:cs="Times New Roman"/>
          <w:color w:val="000000"/>
          <w:sz w:val="32"/>
          <w:szCs w:val="32"/>
        </w:rPr>
        <w:t>0.3</w:t>
      </w:r>
      <w:r>
        <w:rPr>
          <w:rFonts w:hint="eastAsia" w:ascii="Times New Roman" w:hAnsi="Times New Roman" w:eastAsia="仿宋" w:cs="仿宋"/>
          <w:color w:val="000000"/>
          <w:sz w:val="32"/>
          <w:szCs w:val="32"/>
        </w:rPr>
        <w:t>分，扣完</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分为止。</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建设面积达到相关标准</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占</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分，即示范性儿童之家的室内建筑面积不小于</w:t>
      </w:r>
      <w:r>
        <w:rPr>
          <w:rFonts w:ascii="Times New Roman" w:hAnsi="Times New Roman" w:eastAsia="仿宋" w:cs="Times New Roman"/>
          <w:color w:val="000000"/>
          <w:sz w:val="32"/>
          <w:szCs w:val="32"/>
        </w:rPr>
        <w:t>100 m</w:t>
      </w:r>
      <w:r>
        <w:rPr>
          <w:rFonts w:ascii="Times New Roman" w:hAnsi="Times New Roman" w:cs="Times New Roman"/>
          <w:color w:val="000000"/>
          <w:sz w:val="32"/>
          <w:szCs w:val="32"/>
        </w:rPr>
        <w:t>²</w:t>
      </w:r>
      <w:r>
        <w:rPr>
          <w:rFonts w:ascii="Times New Roman" w:hAnsi="Times New Roman" w:eastAsia="仿宋" w:cs="Times New Roman"/>
          <w:color w:val="000000"/>
          <w:sz w:val="32"/>
          <w:szCs w:val="32"/>
        </w:rPr>
        <w:t xml:space="preserve"> </w:t>
      </w:r>
      <w:r>
        <w:rPr>
          <w:rFonts w:hint="eastAsia" w:ascii="Times New Roman" w:hAnsi="Times New Roman" w:eastAsia="仿宋" w:cs="仿宋"/>
          <w:color w:val="000000"/>
          <w:sz w:val="32"/>
          <w:szCs w:val="32"/>
        </w:rPr>
        <w:t>，室外活动面积不小于</w:t>
      </w:r>
      <w:r>
        <w:rPr>
          <w:rFonts w:ascii="Times New Roman" w:hAnsi="Times New Roman" w:eastAsia="仿宋" w:cs="Times New Roman"/>
          <w:color w:val="000000"/>
          <w:sz w:val="32"/>
          <w:szCs w:val="32"/>
        </w:rPr>
        <w:t>200</w:t>
      </w:r>
      <w:r>
        <w:rPr>
          <w:rFonts w:ascii="Times New Roman" w:hAnsi="Times New Roman" w:eastAsia="仿宋" w:cs="Times New Roman"/>
          <w:color w:val="000000"/>
          <w:kern w:val="0"/>
          <w:sz w:val="32"/>
          <w:szCs w:val="32"/>
        </w:rPr>
        <w:t>m</w:t>
      </w:r>
      <w:r>
        <w:rPr>
          <w:rFonts w:ascii="Times New Roman" w:hAnsi="Times New Roman" w:cs="Times New Roman"/>
          <w:color w:val="000000"/>
          <w:kern w:val="0"/>
          <w:sz w:val="32"/>
          <w:szCs w:val="32"/>
        </w:rPr>
        <w:t>²</w:t>
      </w:r>
      <w:r>
        <w:rPr>
          <w:rFonts w:ascii="Times New Roman" w:hAnsi="Times New Roman" w:eastAsia="仿宋" w:cs="Times New Roman"/>
          <w:color w:val="000000"/>
          <w:sz w:val="32"/>
          <w:szCs w:val="32"/>
        </w:rPr>
        <w:t xml:space="preserve"> </w:t>
      </w:r>
      <w:r>
        <w:rPr>
          <w:rFonts w:hint="eastAsia" w:ascii="Times New Roman" w:hAnsi="Times New Roman" w:eastAsia="仿宋" w:cs="仿宋"/>
          <w:color w:val="000000"/>
          <w:sz w:val="32"/>
          <w:szCs w:val="32"/>
        </w:rPr>
        <w:t>，评估方式为现场抽查示范性儿童之家的建设面积情况，未达标的扣</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功能区设置齐全</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占</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分，即示范性儿童之家应设置课外学习、文体活动、亲情沟通、图书阅览、档案管理、心理咨询、监护照料、手工制作、社会工作等功能区，评估方式为现场抽查示范性儿童之家的功能区分布情况，未达标的扣</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制度完备</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占</w:t>
      </w:r>
      <w:r>
        <w:rPr>
          <w:rFonts w:ascii="Times New Roman" w:hAnsi="Times New Roman" w:eastAsia="仿宋" w:cs="Times New Roman"/>
          <w:color w:val="000000"/>
          <w:sz w:val="32"/>
          <w:szCs w:val="32"/>
        </w:rPr>
        <w:t>0.5</w:t>
      </w:r>
      <w:r>
        <w:rPr>
          <w:rFonts w:hint="eastAsia" w:ascii="Times New Roman" w:hAnsi="Times New Roman" w:eastAsia="仿宋" w:cs="仿宋"/>
          <w:color w:val="000000"/>
          <w:sz w:val="32"/>
          <w:szCs w:val="32"/>
        </w:rPr>
        <w:t>分，即制定专（兼）职工作人员及职责分工、开展活动图片和服务管理制度、场地管理制度、儿童学习制度、活动制度、安全卫生制度、爱心帮扶结对制度、关爱儿童村规民约、留守儿童（困境儿童）应急处置预案、儿童之家年度计划、年度活动安排，每少</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项扣</w:t>
      </w:r>
      <w:r>
        <w:rPr>
          <w:rFonts w:ascii="Times New Roman" w:hAnsi="Times New Roman" w:eastAsia="仿宋" w:cs="Times New Roman"/>
          <w:color w:val="000000"/>
          <w:sz w:val="32"/>
          <w:szCs w:val="32"/>
        </w:rPr>
        <w:t>0.1</w:t>
      </w:r>
      <w:r>
        <w:rPr>
          <w:rFonts w:hint="eastAsia" w:ascii="Times New Roman" w:hAnsi="Times New Roman" w:eastAsia="仿宋" w:cs="仿宋"/>
          <w:color w:val="000000"/>
          <w:sz w:val="32"/>
          <w:szCs w:val="32"/>
        </w:rPr>
        <w:t>分，扣完</w:t>
      </w:r>
      <w:r>
        <w:rPr>
          <w:rFonts w:ascii="Times New Roman" w:hAnsi="Times New Roman" w:eastAsia="仿宋" w:cs="Times New Roman"/>
          <w:color w:val="000000"/>
          <w:sz w:val="32"/>
          <w:szCs w:val="32"/>
        </w:rPr>
        <w:t>0.5</w:t>
      </w:r>
      <w:r>
        <w:rPr>
          <w:rFonts w:hint="eastAsia" w:ascii="Times New Roman" w:hAnsi="Times New Roman" w:eastAsia="仿宋" w:cs="仿宋"/>
          <w:color w:val="000000"/>
          <w:sz w:val="32"/>
          <w:szCs w:val="32"/>
        </w:rPr>
        <w:t>分为止。</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档案健全</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占</w:t>
      </w:r>
      <w:r>
        <w:rPr>
          <w:rFonts w:ascii="Times New Roman" w:hAnsi="Times New Roman" w:eastAsia="仿宋" w:cs="Times New Roman"/>
          <w:color w:val="000000"/>
          <w:sz w:val="32"/>
          <w:szCs w:val="32"/>
        </w:rPr>
        <w:t>0.5</w:t>
      </w:r>
      <w:r>
        <w:rPr>
          <w:rFonts w:hint="eastAsia" w:ascii="Times New Roman" w:hAnsi="Times New Roman" w:eastAsia="仿宋" w:cs="仿宋"/>
          <w:color w:val="000000"/>
          <w:sz w:val="32"/>
          <w:szCs w:val="32"/>
        </w:rPr>
        <w:t>分，即示范性儿童之家应当设置留守儿童、困境儿童台账，包括纸质档案和电子档案，做到一人一档，未达标的扣</w:t>
      </w:r>
      <w:r>
        <w:rPr>
          <w:rFonts w:ascii="Times New Roman" w:hAnsi="Times New Roman" w:eastAsia="仿宋" w:cs="Times New Roman"/>
          <w:color w:val="000000"/>
          <w:sz w:val="32"/>
          <w:szCs w:val="32"/>
        </w:rPr>
        <w:t>0.5</w:t>
      </w:r>
      <w:r>
        <w:rPr>
          <w:rFonts w:hint="eastAsia" w:ascii="Times New Roman" w:hAnsi="Times New Roman" w:eastAsia="仿宋" w:cs="仿宋"/>
          <w:color w:val="000000"/>
          <w:sz w:val="32"/>
          <w:szCs w:val="32"/>
        </w:rPr>
        <w:t>分。</w:t>
      </w:r>
      <w:r>
        <w:rPr>
          <w:rFonts w:ascii="Times New Roman" w:hAnsi="Times New Roman" w:eastAsia="仿宋" w:cs="Times New Roman"/>
          <w:color w:val="000000"/>
          <w:sz w:val="32"/>
          <w:szCs w:val="32"/>
        </w:rPr>
        <w:t>“2019</w:t>
      </w:r>
      <w:r>
        <w:rPr>
          <w:rFonts w:hint="eastAsia" w:ascii="Times New Roman" w:hAnsi="Times New Roman" w:eastAsia="仿宋" w:cs="仿宋"/>
          <w:color w:val="000000"/>
          <w:sz w:val="32"/>
          <w:szCs w:val="32"/>
        </w:rPr>
        <w:t>年村级儿童之家覆盖率达到</w:t>
      </w:r>
      <w:r>
        <w:rPr>
          <w:rFonts w:ascii="Times New Roman" w:hAnsi="Times New Roman" w:eastAsia="仿宋" w:cs="Times New Roman"/>
          <w:color w:val="000000"/>
          <w:sz w:val="32"/>
          <w:szCs w:val="32"/>
        </w:rPr>
        <w:t>90</w:t>
      </w:r>
      <w:r>
        <w:rPr>
          <w:rFonts w:hint="eastAsia" w:ascii="Times New Roman" w:hAnsi="Times New Roman" w:eastAsia="仿宋" w:cs="仿宋"/>
          <w:color w:val="000000"/>
          <w:sz w:val="32"/>
          <w:szCs w:val="32"/>
        </w:rPr>
        <w:t>％</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占</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分，评估方式为现场查看资料（儿童之家统计表、挂牌照片、场地照片、活动记录等），并进行现场抽查，未达</w:t>
      </w:r>
      <w:r>
        <w:rPr>
          <w:rFonts w:ascii="Times New Roman" w:hAnsi="Times New Roman" w:eastAsia="仿宋" w:cs="Times New Roman"/>
          <w:color w:val="000000"/>
          <w:sz w:val="32"/>
          <w:szCs w:val="32"/>
        </w:rPr>
        <w:t>90</w:t>
      </w:r>
      <w:r>
        <w:rPr>
          <w:rFonts w:hint="eastAsia" w:ascii="Times New Roman" w:hAnsi="Times New Roman" w:eastAsia="仿宋" w:cs="仿宋"/>
          <w:color w:val="000000"/>
          <w:sz w:val="32"/>
          <w:szCs w:val="32"/>
        </w:rPr>
        <w:t>％的扣</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w:t>
      </w:r>
    </w:p>
    <w:tbl>
      <w:tblPr>
        <w:tblStyle w:val="7"/>
        <w:tblW w:w="874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60"/>
        <w:gridCol w:w="5798"/>
        <w:gridCol w:w="11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4" w:hRule="atLeast"/>
          <w:jc w:val="center"/>
        </w:trPr>
        <w:tc>
          <w:tcPr>
            <w:tcW w:w="1760" w:type="dxa"/>
            <w:vAlign w:val="center"/>
          </w:tcPr>
          <w:p>
            <w:pPr>
              <w:spacing w:line="400" w:lineRule="exact"/>
              <w:jc w:val="center"/>
              <w:rPr>
                <w:rFonts w:ascii="Times New Roman" w:hAnsi="Times New Roman" w:cs="Times New Roman"/>
                <w:color w:val="000000"/>
                <w:sz w:val="24"/>
                <w:szCs w:val="24"/>
              </w:rPr>
            </w:pPr>
            <w:r>
              <w:rPr>
                <w:rFonts w:hint="eastAsia" w:ascii="Times New Roman" w:hAnsi="Times New Roman" w:cs="宋体"/>
                <w:color w:val="000000"/>
                <w:sz w:val="24"/>
                <w:szCs w:val="24"/>
              </w:rPr>
              <w:t>（十五）</w:t>
            </w:r>
          </w:p>
        </w:tc>
        <w:tc>
          <w:tcPr>
            <w:tcW w:w="5798" w:type="dxa"/>
            <w:vAlign w:val="center"/>
          </w:tcPr>
          <w:p>
            <w:pPr>
              <w:spacing w:line="400" w:lineRule="exact"/>
              <w:rPr>
                <w:rFonts w:ascii="Times New Roman" w:hAnsi="Times New Roman" w:cs="Times New Roman"/>
                <w:color w:val="000000"/>
                <w:sz w:val="24"/>
                <w:szCs w:val="24"/>
              </w:rPr>
            </w:pPr>
            <w:r>
              <w:rPr>
                <w:rFonts w:hint="eastAsia" w:ascii="Times New Roman" w:hAnsi="Times New Roman" w:cs="宋体"/>
                <w:color w:val="000000"/>
                <w:sz w:val="24"/>
                <w:szCs w:val="24"/>
              </w:rPr>
              <w:t>救助站达到三级以上标准。</w:t>
            </w:r>
          </w:p>
        </w:tc>
        <w:tc>
          <w:tcPr>
            <w:tcW w:w="1184" w:type="dxa"/>
            <w:vAlign w:val="center"/>
          </w:tcPr>
          <w:p>
            <w:pPr>
              <w:spacing w:line="400" w:lineRule="exact"/>
              <w:jc w:val="center"/>
              <w:rPr>
                <w:rFonts w:ascii="Times New Roman" w:hAnsi="Times New Roman" w:cs="Times New Roman"/>
                <w:color w:val="000000"/>
                <w:sz w:val="24"/>
                <w:szCs w:val="24"/>
              </w:rPr>
            </w:pPr>
            <w:r>
              <w:rPr>
                <w:rFonts w:ascii="Times New Roman" w:hAnsi="Times New Roman" w:cs="Times New Roman"/>
                <w:color w:val="000000"/>
                <w:sz w:val="24"/>
                <w:szCs w:val="24"/>
              </w:rPr>
              <w:t>2</w:t>
            </w:r>
            <w:r>
              <w:rPr>
                <w:rFonts w:hint="eastAsia" w:ascii="Times New Roman" w:hAnsi="Times New Roman" w:cs="宋体"/>
                <w:color w:val="000000"/>
                <w:sz w:val="24"/>
                <w:szCs w:val="24"/>
              </w:rPr>
              <w:t>分</w:t>
            </w:r>
          </w:p>
        </w:tc>
      </w:tr>
    </w:tbl>
    <w:p>
      <w:pPr>
        <w:spacing w:line="580" w:lineRule="exact"/>
        <w:ind w:firstLine="620" w:firstLineChars="200"/>
        <w:rPr>
          <w:rFonts w:ascii="Times New Roman" w:hAnsi="Times New Roman" w:eastAsia="仿宋" w:cs="Times New Roman"/>
          <w:color w:val="000000"/>
          <w:spacing w:val="-5"/>
          <w:sz w:val="32"/>
          <w:szCs w:val="32"/>
        </w:rPr>
      </w:pPr>
      <w:r>
        <w:rPr>
          <w:rFonts w:hint="eastAsia" w:ascii="Times New Roman" w:hAnsi="Times New Roman" w:eastAsia="仿宋" w:cs="仿宋"/>
          <w:color w:val="000000"/>
          <w:spacing w:val="-5"/>
          <w:sz w:val="32"/>
          <w:szCs w:val="32"/>
        </w:rPr>
        <w:t>本项指标从救助站方面进行评估。目标值的确定依据主要是《民政事业发展第十三个五年规划》、《湖南省</w:t>
      </w:r>
      <w:r>
        <w:rPr>
          <w:rFonts w:ascii="Times New Roman" w:hAnsi="Times New Roman" w:eastAsia="仿宋" w:cs="Times New Roman"/>
          <w:color w:val="000000"/>
          <w:spacing w:val="-5"/>
          <w:sz w:val="32"/>
          <w:szCs w:val="32"/>
        </w:rPr>
        <w:t>“</w:t>
      </w:r>
      <w:r>
        <w:rPr>
          <w:rFonts w:hint="eastAsia" w:ascii="Times New Roman" w:hAnsi="Times New Roman" w:eastAsia="仿宋" w:cs="仿宋"/>
          <w:color w:val="000000"/>
          <w:spacing w:val="-5"/>
          <w:sz w:val="32"/>
          <w:szCs w:val="32"/>
        </w:rPr>
        <w:t>十三五</w:t>
      </w:r>
      <w:r>
        <w:rPr>
          <w:rFonts w:ascii="Times New Roman" w:hAnsi="Times New Roman" w:eastAsia="仿宋" w:cs="Times New Roman"/>
          <w:color w:val="000000"/>
          <w:spacing w:val="-5"/>
          <w:sz w:val="32"/>
          <w:szCs w:val="32"/>
        </w:rPr>
        <w:t>”</w:t>
      </w:r>
      <w:r>
        <w:rPr>
          <w:rFonts w:hint="eastAsia" w:ascii="Times New Roman" w:hAnsi="Times New Roman" w:eastAsia="仿宋" w:cs="仿宋"/>
          <w:color w:val="000000"/>
          <w:spacing w:val="-5"/>
          <w:sz w:val="32"/>
          <w:szCs w:val="32"/>
        </w:rPr>
        <w:t>民政事业发展规划》、《救助管理机构等级评定标准》。评估方式为现场查看县市区流浪乞讨人员救助管理站，未达到三级站标准的，扣</w:t>
      </w:r>
      <w:r>
        <w:rPr>
          <w:rFonts w:ascii="Times New Roman" w:hAnsi="Times New Roman" w:eastAsia="仿宋" w:cs="Times New Roman"/>
          <w:color w:val="000000"/>
          <w:spacing w:val="-5"/>
          <w:sz w:val="32"/>
          <w:szCs w:val="32"/>
        </w:rPr>
        <w:t>2</w:t>
      </w:r>
      <w:r>
        <w:rPr>
          <w:rFonts w:hint="eastAsia" w:ascii="Times New Roman" w:hAnsi="Times New Roman" w:eastAsia="仿宋" w:cs="仿宋"/>
          <w:color w:val="000000"/>
          <w:spacing w:val="-5"/>
          <w:sz w:val="32"/>
          <w:szCs w:val="32"/>
        </w:rPr>
        <w:t>分。</w:t>
      </w:r>
    </w:p>
    <w:tbl>
      <w:tblPr>
        <w:tblStyle w:val="7"/>
        <w:tblW w:w="8714"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47"/>
        <w:gridCol w:w="6083"/>
        <w:gridCol w:w="11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447" w:type="dxa"/>
            <w:vAlign w:val="center"/>
          </w:tcPr>
          <w:p>
            <w:pPr>
              <w:spacing w:line="400" w:lineRule="exact"/>
              <w:jc w:val="center"/>
              <w:rPr>
                <w:rFonts w:ascii="Times New Roman" w:hAnsi="Times New Roman" w:cs="Times New Roman"/>
                <w:color w:val="000000"/>
                <w:sz w:val="24"/>
                <w:szCs w:val="24"/>
              </w:rPr>
            </w:pPr>
            <w:r>
              <w:rPr>
                <w:rFonts w:hint="eastAsia" w:ascii="Times New Roman" w:hAnsi="Times New Roman" w:cs="宋体"/>
                <w:color w:val="000000"/>
                <w:sz w:val="24"/>
                <w:szCs w:val="24"/>
              </w:rPr>
              <w:t>（十六）</w:t>
            </w:r>
          </w:p>
        </w:tc>
        <w:tc>
          <w:tcPr>
            <w:tcW w:w="6083" w:type="dxa"/>
            <w:vAlign w:val="center"/>
          </w:tcPr>
          <w:p>
            <w:pPr>
              <w:spacing w:line="400" w:lineRule="exact"/>
              <w:rPr>
                <w:rFonts w:ascii="Times New Roman" w:hAnsi="Times New Roman" w:cs="Times New Roman"/>
                <w:color w:val="000000"/>
                <w:sz w:val="24"/>
                <w:szCs w:val="24"/>
              </w:rPr>
            </w:pPr>
            <w:r>
              <w:rPr>
                <w:rFonts w:hint="eastAsia" w:ascii="Times New Roman" w:hAnsi="Times New Roman" w:cs="宋体"/>
                <w:color w:val="000000"/>
                <w:sz w:val="24"/>
                <w:szCs w:val="24"/>
              </w:rPr>
              <w:t>婚姻登记机构达到</w:t>
            </w:r>
            <w:r>
              <w:rPr>
                <w:rFonts w:ascii="Times New Roman" w:hAnsi="Times New Roman" w:cs="Times New Roman"/>
                <w:color w:val="000000"/>
                <w:sz w:val="24"/>
                <w:szCs w:val="24"/>
              </w:rPr>
              <w:t>3A</w:t>
            </w:r>
            <w:r>
              <w:rPr>
                <w:rFonts w:hint="eastAsia" w:ascii="Times New Roman" w:hAnsi="Times New Roman" w:cs="宋体"/>
                <w:color w:val="000000"/>
                <w:sz w:val="24"/>
                <w:szCs w:val="24"/>
              </w:rPr>
              <w:t>以上标准，提供网上预约服务、家庭辅导服务、婚姻颁证服务，婚姻登记机构全免费服务、无违规收费现象，建国以来保存的所有婚姻登记档案录入婚姻登记信息系统。</w:t>
            </w:r>
          </w:p>
        </w:tc>
        <w:tc>
          <w:tcPr>
            <w:tcW w:w="1184" w:type="dxa"/>
            <w:vAlign w:val="center"/>
          </w:tcPr>
          <w:p>
            <w:pPr>
              <w:spacing w:line="400" w:lineRule="exact"/>
              <w:jc w:val="center"/>
              <w:rPr>
                <w:rFonts w:ascii="Times New Roman" w:hAnsi="Times New Roman" w:cs="Times New Roman"/>
                <w:color w:val="000000"/>
                <w:sz w:val="24"/>
                <w:szCs w:val="24"/>
              </w:rPr>
            </w:pPr>
            <w:r>
              <w:rPr>
                <w:rFonts w:ascii="Times New Roman" w:hAnsi="Times New Roman" w:cs="Times New Roman"/>
                <w:color w:val="000000"/>
                <w:sz w:val="24"/>
                <w:szCs w:val="24"/>
              </w:rPr>
              <w:t>3</w:t>
            </w:r>
            <w:r>
              <w:rPr>
                <w:rFonts w:hint="eastAsia" w:ascii="Times New Roman" w:hAnsi="Times New Roman" w:cs="宋体"/>
                <w:color w:val="000000"/>
                <w:sz w:val="24"/>
                <w:szCs w:val="24"/>
              </w:rPr>
              <w:t>分</w:t>
            </w:r>
          </w:p>
        </w:tc>
      </w:tr>
    </w:tbl>
    <w:p>
      <w:pPr>
        <w:spacing w:line="580" w:lineRule="exact"/>
        <w:ind w:firstLine="640" w:firstLineChars="200"/>
        <w:rPr>
          <w:rFonts w:ascii="Times New Roman" w:hAnsi="Times New Roman" w:eastAsia="仿宋" w:cs="Times New Roman"/>
          <w:color w:val="000000"/>
          <w:sz w:val="32"/>
          <w:szCs w:val="32"/>
        </w:rPr>
      </w:pPr>
      <w:r>
        <w:rPr>
          <w:rFonts w:hint="eastAsia" w:ascii="Times New Roman" w:hAnsi="Times New Roman" w:eastAsia="仿宋" w:cs="仿宋"/>
          <w:color w:val="000000"/>
          <w:sz w:val="32"/>
          <w:szCs w:val="32"/>
        </w:rPr>
        <w:t>本项指标从姻登记机构方面进行评估。目标值的确定依据主要是《民政事业发展第十三个五年规划》、《湖南省</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十三五</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民政事业发展规划》、《婚姻登记机关等级评定标准》、《湖南省婚姻登记机构建设基本标准》，评估方式为现场查看县市区婚姻登记机构。未达到</w:t>
      </w:r>
      <w:r>
        <w:rPr>
          <w:rFonts w:ascii="Times New Roman" w:hAnsi="Times New Roman" w:eastAsia="仿宋" w:cs="Times New Roman"/>
          <w:color w:val="000000"/>
          <w:sz w:val="32"/>
          <w:szCs w:val="32"/>
        </w:rPr>
        <w:t>3A</w:t>
      </w:r>
      <w:r>
        <w:rPr>
          <w:rFonts w:hint="eastAsia" w:ascii="Times New Roman" w:hAnsi="Times New Roman" w:eastAsia="仿宋" w:cs="仿宋"/>
          <w:color w:val="000000"/>
          <w:sz w:val="32"/>
          <w:szCs w:val="32"/>
        </w:rPr>
        <w:t>等级标准的，扣</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提供网上预约服务、家庭辅导服务、婚姻颁证服务</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占</w:t>
      </w:r>
      <w:r>
        <w:rPr>
          <w:rFonts w:ascii="Times New Roman" w:hAnsi="Times New Roman" w:eastAsia="仿宋" w:cs="Times New Roman"/>
          <w:color w:val="000000"/>
          <w:sz w:val="32"/>
          <w:szCs w:val="32"/>
        </w:rPr>
        <w:t>0.5</w:t>
      </w:r>
      <w:r>
        <w:rPr>
          <w:rFonts w:hint="eastAsia" w:ascii="Times New Roman" w:hAnsi="Times New Roman" w:eastAsia="仿宋" w:cs="仿宋"/>
          <w:color w:val="000000"/>
          <w:sz w:val="32"/>
          <w:szCs w:val="32"/>
        </w:rPr>
        <w:t>分，少</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项扣</w:t>
      </w:r>
      <w:r>
        <w:rPr>
          <w:rFonts w:ascii="Times New Roman" w:hAnsi="Times New Roman" w:eastAsia="仿宋" w:cs="Times New Roman"/>
          <w:color w:val="000000"/>
          <w:sz w:val="32"/>
          <w:szCs w:val="32"/>
        </w:rPr>
        <w:t>0.5</w:t>
      </w:r>
      <w:r>
        <w:rPr>
          <w:rFonts w:hint="eastAsia" w:ascii="Times New Roman" w:hAnsi="Times New Roman" w:eastAsia="仿宋" w:cs="仿宋"/>
          <w:color w:val="000000"/>
          <w:sz w:val="32"/>
          <w:szCs w:val="32"/>
        </w:rPr>
        <w:t>分。</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婚登机构实行全免费服务、无违规收费现象</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占</w:t>
      </w:r>
      <w:r>
        <w:rPr>
          <w:rFonts w:ascii="Times New Roman" w:hAnsi="Times New Roman" w:eastAsia="仿宋" w:cs="Times New Roman"/>
          <w:color w:val="000000"/>
          <w:sz w:val="32"/>
          <w:szCs w:val="32"/>
        </w:rPr>
        <w:t>0.5</w:t>
      </w:r>
      <w:r>
        <w:rPr>
          <w:rFonts w:hint="eastAsia" w:ascii="Times New Roman" w:hAnsi="Times New Roman" w:eastAsia="仿宋" w:cs="仿宋"/>
          <w:color w:val="000000"/>
          <w:sz w:val="32"/>
          <w:szCs w:val="32"/>
        </w:rPr>
        <w:t>分，出现</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起违规收费行为扣</w:t>
      </w:r>
      <w:r>
        <w:rPr>
          <w:rFonts w:ascii="Times New Roman" w:hAnsi="Times New Roman" w:eastAsia="仿宋" w:cs="Times New Roman"/>
          <w:color w:val="000000"/>
          <w:sz w:val="32"/>
          <w:szCs w:val="32"/>
        </w:rPr>
        <w:t>0.5</w:t>
      </w:r>
      <w:r>
        <w:rPr>
          <w:rFonts w:hint="eastAsia" w:ascii="Times New Roman" w:hAnsi="Times New Roman" w:eastAsia="仿宋" w:cs="仿宋"/>
          <w:color w:val="000000"/>
          <w:sz w:val="32"/>
          <w:szCs w:val="32"/>
        </w:rPr>
        <w:t>分。</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建国以来保存的所有婚姻登记档案录入婚姻登记信息系统</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占</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分，未达标的扣</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w:t>
      </w:r>
    </w:p>
    <w:tbl>
      <w:tblPr>
        <w:tblStyle w:val="7"/>
        <w:tblW w:w="8754"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79"/>
        <w:gridCol w:w="6159"/>
        <w:gridCol w:w="10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10" w:hRule="atLeast"/>
          <w:jc w:val="center"/>
        </w:trPr>
        <w:tc>
          <w:tcPr>
            <w:tcW w:w="1579" w:type="dxa"/>
            <w:vAlign w:val="center"/>
          </w:tcPr>
          <w:p>
            <w:pPr>
              <w:spacing w:line="400" w:lineRule="exact"/>
              <w:jc w:val="center"/>
              <w:rPr>
                <w:rFonts w:ascii="Times New Roman" w:hAnsi="Times New Roman" w:cs="Times New Roman"/>
                <w:color w:val="000000"/>
                <w:sz w:val="24"/>
                <w:szCs w:val="24"/>
              </w:rPr>
            </w:pPr>
            <w:r>
              <w:rPr>
                <w:rFonts w:hint="eastAsia" w:ascii="Times New Roman" w:hAnsi="Times New Roman" w:cs="宋体"/>
                <w:color w:val="000000"/>
                <w:sz w:val="24"/>
                <w:szCs w:val="24"/>
              </w:rPr>
              <w:t>（十七）</w:t>
            </w:r>
          </w:p>
        </w:tc>
        <w:tc>
          <w:tcPr>
            <w:tcW w:w="6159" w:type="dxa"/>
            <w:vAlign w:val="center"/>
          </w:tcPr>
          <w:p>
            <w:pPr>
              <w:spacing w:line="400" w:lineRule="exact"/>
              <w:rPr>
                <w:rFonts w:ascii="Times New Roman" w:hAnsi="Times New Roman" w:cs="Times New Roman"/>
                <w:color w:val="000000"/>
                <w:sz w:val="24"/>
                <w:szCs w:val="24"/>
              </w:rPr>
            </w:pPr>
            <w:r>
              <w:rPr>
                <w:rFonts w:hint="eastAsia" w:ascii="Times New Roman" w:hAnsi="Times New Roman" w:cs="宋体"/>
                <w:color w:val="000000"/>
                <w:sz w:val="24"/>
                <w:szCs w:val="24"/>
              </w:rPr>
              <w:t>有功能合理、满足需求的殡仪馆、县级公墓、农村公益性墓地等殡葬基础设施，出台节地生态奖补政策，节地生态安葬率</w:t>
            </w:r>
            <w:r>
              <w:rPr>
                <w:rFonts w:ascii="Times New Roman" w:hAnsi="Times New Roman" w:cs="Times New Roman"/>
                <w:color w:val="000000"/>
                <w:sz w:val="24"/>
                <w:szCs w:val="24"/>
              </w:rPr>
              <w:t>2019</w:t>
            </w:r>
            <w:r>
              <w:rPr>
                <w:rFonts w:hint="eastAsia" w:ascii="Times New Roman" w:hAnsi="Times New Roman" w:cs="宋体"/>
                <w:color w:val="000000"/>
                <w:sz w:val="24"/>
                <w:szCs w:val="24"/>
              </w:rPr>
              <w:t>年达到</w:t>
            </w:r>
            <w:r>
              <w:rPr>
                <w:rFonts w:ascii="Times New Roman" w:hAnsi="Times New Roman" w:cs="Times New Roman"/>
                <w:color w:val="000000"/>
                <w:sz w:val="24"/>
                <w:szCs w:val="24"/>
              </w:rPr>
              <w:t>50%</w:t>
            </w:r>
            <w:r>
              <w:rPr>
                <w:rFonts w:hint="eastAsia" w:ascii="Times New Roman" w:hAnsi="Times New Roman" w:cs="宋体"/>
                <w:color w:val="000000"/>
                <w:sz w:val="24"/>
                <w:szCs w:val="24"/>
              </w:rPr>
              <w:t>，火化率较上一年度提高</w:t>
            </w:r>
            <w:r>
              <w:rPr>
                <w:rFonts w:ascii="Times New Roman" w:hAnsi="Times New Roman" w:cs="Times New Roman"/>
                <w:color w:val="000000"/>
                <w:sz w:val="24"/>
                <w:szCs w:val="24"/>
              </w:rPr>
              <w:t>2%</w:t>
            </w:r>
            <w:r>
              <w:rPr>
                <w:rFonts w:hint="eastAsia" w:ascii="Times New Roman" w:hAnsi="Times New Roman" w:cs="宋体"/>
                <w:color w:val="000000"/>
                <w:sz w:val="24"/>
                <w:szCs w:val="24"/>
              </w:rPr>
              <w:t>。</w:t>
            </w:r>
          </w:p>
        </w:tc>
        <w:tc>
          <w:tcPr>
            <w:tcW w:w="1016" w:type="dxa"/>
            <w:vAlign w:val="center"/>
          </w:tcPr>
          <w:p>
            <w:pPr>
              <w:spacing w:line="400" w:lineRule="exact"/>
              <w:jc w:val="center"/>
              <w:rPr>
                <w:rFonts w:ascii="Times New Roman" w:hAnsi="Times New Roman" w:cs="Times New Roman"/>
                <w:color w:val="000000"/>
                <w:sz w:val="24"/>
                <w:szCs w:val="24"/>
              </w:rPr>
            </w:pPr>
            <w:r>
              <w:rPr>
                <w:rFonts w:ascii="Times New Roman" w:hAnsi="Times New Roman" w:cs="Times New Roman"/>
                <w:color w:val="000000"/>
                <w:sz w:val="24"/>
                <w:szCs w:val="24"/>
              </w:rPr>
              <w:t>4</w:t>
            </w:r>
            <w:r>
              <w:rPr>
                <w:rFonts w:hint="eastAsia" w:ascii="Times New Roman" w:hAnsi="Times New Roman" w:cs="宋体"/>
                <w:color w:val="000000"/>
                <w:sz w:val="24"/>
                <w:szCs w:val="24"/>
              </w:rPr>
              <w:t>分</w:t>
            </w:r>
          </w:p>
        </w:tc>
      </w:tr>
    </w:tbl>
    <w:p>
      <w:pPr>
        <w:spacing w:line="580" w:lineRule="exact"/>
        <w:ind w:firstLine="640" w:firstLineChars="200"/>
        <w:rPr>
          <w:rFonts w:ascii="Times New Roman" w:hAnsi="Times New Roman" w:eastAsia="仿宋" w:cs="Times New Roman"/>
          <w:color w:val="000000"/>
          <w:kern w:val="0"/>
          <w:sz w:val="32"/>
          <w:szCs w:val="32"/>
        </w:rPr>
      </w:pPr>
      <w:r>
        <w:rPr>
          <w:rFonts w:hint="eastAsia" w:ascii="Times New Roman" w:hAnsi="Times New Roman" w:eastAsia="仿宋" w:cs="仿宋"/>
          <w:color w:val="000000"/>
          <w:kern w:val="0"/>
          <w:sz w:val="32"/>
          <w:szCs w:val="32"/>
        </w:rPr>
        <w:t>本项指标从殡仪馆、节地生态安葬、火化率等方面进行评估。目标值的确定依据主要是《民政事业发展第十三个五年规划》、《湖南省</w:t>
      </w:r>
      <w:r>
        <w:rPr>
          <w:rFonts w:ascii="Times New Roman" w:hAnsi="Times New Roman" w:eastAsia="仿宋" w:cs="Times New Roman"/>
          <w:color w:val="000000"/>
          <w:kern w:val="0"/>
          <w:sz w:val="32"/>
          <w:szCs w:val="32"/>
        </w:rPr>
        <w:t>“</w:t>
      </w:r>
      <w:r>
        <w:rPr>
          <w:rFonts w:hint="eastAsia" w:ascii="Times New Roman" w:hAnsi="Times New Roman" w:eastAsia="仿宋" w:cs="仿宋"/>
          <w:color w:val="000000"/>
          <w:kern w:val="0"/>
          <w:sz w:val="32"/>
          <w:szCs w:val="32"/>
        </w:rPr>
        <w:t>十三五</w:t>
      </w:r>
      <w:r>
        <w:rPr>
          <w:rFonts w:ascii="Times New Roman" w:hAnsi="Times New Roman" w:eastAsia="仿宋" w:cs="Times New Roman"/>
          <w:color w:val="000000"/>
          <w:kern w:val="0"/>
          <w:sz w:val="32"/>
          <w:szCs w:val="32"/>
        </w:rPr>
        <w:t>”</w:t>
      </w:r>
      <w:r>
        <w:rPr>
          <w:rFonts w:hint="eastAsia" w:ascii="Times New Roman" w:hAnsi="Times New Roman" w:eastAsia="仿宋" w:cs="仿宋"/>
          <w:color w:val="000000"/>
          <w:kern w:val="0"/>
          <w:sz w:val="32"/>
          <w:szCs w:val="32"/>
        </w:rPr>
        <w:t>民政事业发展规划》、《湖南省</w:t>
      </w:r>
      <w:r>
        <w:rPr>
          <w:rFonts w:ascii="Times New Roman" w:hAnsi="Times New Roman" w:eastAsia="仿宋" w:cs="Times New Roman"/>
          <w:color w:val="000000"/>
          <w:kern w:val="0"/>
          <w:sz w:val="32"/>
          <w:szCs w:val="32"/>
        </w:rPr>
        <w:t>2015-2020</w:t>
      </w:r>
      <w:r>
        <w:rPr>
          <w:rFonts w:hint="eastAsia" w:ascii="Times New Roman" w:hAnsi="Times New Roman" w:eastAsia="仿宋" w:cs="仿宋"/>
          <w:color w:val="000000"/>
          <w:kern w:val="0"/>
          <w:sz w:val="32"/>
          <w:szCs w:val="32"/>
        </w:rPr>
        <w:t>年殡葬事业发展规划》。</w:t>
      </w:r>
      <w:r>
        <w:rPr>
          <w:rFonts w:ascii="Times New Roman" w:hAnsi="Times New Roman" w:eastAsia="仿宋" w:cs="Times New Roman"/>
          <w:color w:val="000000"/>
          <w:kern w:val="0"/>
          <w:sz w:val="32"/>
          <w:szCs w:val="32"/>
        </w:rPr>
        <w:t>“</w:t>
      </w:r>
      <w:r>
        <w:rPr>
          <w:rFonts w:hint="eastAsia" w:ascii="Times New Roman" w:hAnsi="Times New Roman" w:eastAsia="仿宋" w:cs="仿宋"/>
          <w:color w:val="000000"/>
          <w:kern w:val="0"/>
          <w:sz w:val="32"/>
          <w:szCs w:val="32"/>
        </w:rPr>
        <w:t>有功能合理、满足需求的殡仪馆、县级公墓、农村公益性墓地等殡葬基础设施</w:t>
      </w:r>
      <w:r>
        <w:rPr>
          <w:rFonts w:ascii="Times New Roman" w:hAnsi="Times New Roman" w:eastAsia="仿宋" w:cs="Times New Roman"/>
          <w:color w:val="000000"/>
          <w:kern w:val="0"/>
          <w:sz w:val="32"/>
          <w:szCs w:val="32"/>
        </w:rPr>
        <w:t>”</w:t>
      </w:r>
      <w:r>
        <w:rPr>
          <w:rFonts w:hint="eastAsia" w:ascii="Times New Roman" w:hAnsi="Times New Roman" w:eastAsia="仿宋" w:cs="仿宋"/>
          <w:color w:val="000000"/>
          <w:kern w:val="0"/>
          <w:sz w:val="32"/>
          <w:szCs w:val="32"/>
        </w:rPr>
        <w:t>占</w:t>
      </w:r>
      <w:r>
        <w:rPr>
          <w:rFonts w:ascii="Times New Roman" w:hAnsi="Times New Roman" w:eastAsia="仿宋" w:cs="Times New Roman"/>
          <w:color w:val="000000"/>
          <w:kern w:val="0"/>
          <w:sz w:val="32"/>
          <w:szCs w:val="32"/>
        </w:rPr>
        <w:t>2.5</w:t>
      </w:r>
      <w:r>
        <w:rPr>
          <w:rFonts w:hint="eastAsia" w:ascii="Times New Roman" w:hAnsi="Times New Roman" w:eastAsia="仿宋" w:cs="仿宋"/>
          <w:color w:val="000000"/>
          <w:kern w:val="0"/>
          <w:sz w:val="32"/>
          <w:szCs w:val="32"/>
        </w:rPr>
        <w:t>分，评估方式为现场查看县市区殡葬基础设施项目，没有殡仪馆、县级公墓（包括县级经营性公墓或者县级公益性墓地）、农村公益性墓地等设施的，少一项扣</w:t>
      </w:r>
      <w:r>
        <w:rPr>
          <w:rFonts w:ascii="Times New Roman" w:hAnsi="Times New Roman" w:eastAsia="仿宋" w:cs="Times New Roman"/>
          <w:color w:val="000000"/>
          <w:kern w:val="0"/>
          <w:sz w:val="32"/>
          <w:szCs w:val="32"/>
        </w:rPr>
        <w:t>1</w:t>
      </w:r>
      <w:r>
        <w:rPr>
          <w:rFonts w:hint="eastAsia" w:ascii="Times New Roman" w:hAnsi="Times New Roman" w:eastAsia="仿宋" w:cs="仿宋"/>
          <w:color w:val="000000"/>
          <w:kern w:val="0"/>
          <w:sz w:val="32"/>
          <w:szCs w:val="32"/>
        </w:rPr>
        <w:t>分（市殡仪馆已经覆盖的县市区不扣分），扣完</w:t>
      </w:r>
      <w:r>
        <w:rPr>
          <w:rFonts w:ascii="Times New Roman" w:hAnsi="Times New Roman" w:eastAsia="仿宋" w:cs="Times New Roman"/>
          <w:color w:val="000000"/>
          <w:kern w:val="0"/>
          <w:sz w:val="32"/>
          <w:szCs w:val="32"/>
        </w:rPr>
        <w:t>2.5</w:t>
      </w:r>
      <w:r>
        <w:rPr>
          <w:rFonts w:hint="eastAsia" w:ascii="Times New Roman" w:hAnsi="Times New Roman" w:eastAsia="仿宋" w:cs="仿宋"/>
          <w:color w:val="000000"/>
          <w:kern w:val="0"/>
          <w:sz w:val="32"/>
          <w:szCs w:val="32"/>
        </w:rPr>
        <w:t>分为止；有殡仪馆无火化设施的，扣</w:t>
      </w:r>
      <w:r>
        <w:rPr>
          <w:rFonts w:ascii="Times New Roman" w:hAnsi="Times New Roman" w:eastAsia="仿宋" w:cs="Times New Roman"/>
          <w:color w:val="000000"/>
          <w:kern w:val="0"/>
          <w:sz w:val="32"/>
          <w:szCs w:val="32"/>
        </w:rPr>
        <w:t>0.5</w:t>
      </w:r>
      <w:r>
        <w:rPr>
          <w:rFonts w:hint="eastAsia" w:ascii="Times New Roman" w:hAnsi="Times New Roman" w:eastAsia="仿宋" w:cs="仿宋"/>
          <w:color w:val="000000"/>
          <w:kern w:val="0"/>
          <w:sz w:val="32"/>
          <w:szCs w:val="32"/>
        </w:rPr>
        <w:t>分；未按要求完成省厅下达的农村公益性墓地等殡葬基础设施年度建设任务的（如具有火化功能的殡仪馆的县市区或者市级殡仪馆能覆盖的县市区</w:t>
      </w:r>
      <w:r>
        <w:rPr>
          <w:rFonts w:ascii="Times New Roman" w:hAnsi="Times New Roman" w:eastAsia="仿宋" w:cs="Times New Roman"/>
          <w:color w:val="000000"/>
          <w:kern w:val="0"/>
          <w:sz w:val="32"/>
          <w:szCs w:val="32"/>
        </w:rPr>
        <w:t>2019</w:t>
      </w:r>
      <w:r>
        <w:rPr>
          <w:rFonts w:hint="eastAsia" w:ascii="Times New Roman" w:hAnsi="Times New Roman" w:eastAsia="仿宋" w:cs="仿宋"/>
          <w:color w:val="000000"/>
          <w:kern w:val="0"/>
          <w:sz w:val="32"/>
          <w:szCs w:val="32"/>
        </w:rPr>
        <w:t>年度需至少建设</w:t>
      </w:r>
      <w:r>
        <w:rPr>
          <w:rFonts w:ascii="Times New Roman" w:hAnsi="Times New Roman" w:eastAsia="仿宋" w:cs="Times New Roman"/>
          <w:color w:val="000000"/>
          <w:kern w:val="0"/>
          <w:sz w:val="32"/>
          <w:szCs w:val="32"/>
        </w:rPr>
        <w:t>1</w:t>
      </w:r>
      <w:r>
        <w:rPr>
          <w:rFonts w:hint="eastAsia" w:ascii="Times New Roman" w:hAnsi="Times New Roman" w:eastAsia="仿宋" w:cs="仿宋"/>
          <w:color w:val="000000"/>
          <w:kern w:val="0"/>
          <w:sz w:val="32"/>
          <w:szCs w:val="32"/>
        </w:rPr>
        <w:t>个农村公益性公墓），扣</w:t>
      </w:r>
      <w:r>
        <w:rPr>
          <w:rFonts w:ascii="Times New Roman" w:hAnsi="Times New Roman" w:eastAsia="仿宋" w:cs="Times New Roman"/>
          <w:color w:val="000000"/>
          <w:kern w:val="0"/>
          <w:sz w:val="32"/>
          <w:szCs w:val="32"/>
        </w:rPr>
        <w:t>1</w:t>
      </w:r>
      <w:r>
        <w:rPr>
          <w:rFonts w:hint="eastAsia" w:ascii="Times New Roman" w:hAnsi="Times New Roman" w:eastAsia="仿宋" w:cs="仿宋"/>
          <w:color w:val="000000"/>
          <w:kern w:val="0"/>
          <w:sz w:val="32"/>
          <w:szCs w:val="32"/>
        </w:rPr>
        <w:t>分。</w:t>
      </w:r>
      <w:r>
        <w:rPr>
          <w:rFonts w:ascii="Times New Roman" w:hAnsi="Times New Roman" w:eastAsia="仿宋" w:cs="Times New Roman"/>
          <w:color w:val="000000"/>
          <w:kern w:val="0"/>
          <w:sz w:val="32"/>
          <w:szCs w:val="32"/>
        </w:rPr>
        <w:t>“</w:t>
      </w:r>
      <w:r>
        <w:rPr>
          <w:rFonts w:hint="eastAsia" w:ascii="Times New Roman" w:hAnsi="Times New Roman" w:eastAsia="仿宋" w:cs="仿宋"/>
          <w:color w:val="000000"/>
          <w:kern w:val="0"/>
          <w:sz w:val="32"/>
          <w:szCs w:val="32"/>
        </w:rPr>
        <w:t>出台节地生态奖补政策，节地生态安葬率</w:t>
      </w:r>
      <w:r>
        <w:rPr>
          <w:rFonts w:ascii="Times New Roman" w:hAnsi="Times New Roman" w:eastAsia="仿宋" w:cs="Times New Roman"/>
          <w:color w:val="000000"/>
          <w:kern w:val="0"/>
          <w:sz w:val="32"/>
          <w:szCs w:val="32"/>
        </w:rPr>
        <w:t>2019</w:t>
      </w:r>
      <w:r>
        <w:rPr>
          <w:rFonts w:hint="eastAsia" w:ascii="Times New Roman" w:hAnsi="Times New Roman" w:eastAsia="仿宋" w:cs="仿宋"/>
          <w:color w:val="000000"/>
          <w:kern w:val="0"/>
          <w:sz w:val="32"/>
          <w:szCs w:val="32"/>
        </w:rPr>
        <w:t>年达到</w:t>
      </w:r>
      <w:r>
        <w:rPr>
          <w:rFonts w:ascii="Times New Roman" w:hAnsi="Times New Roman" w:eastAsia="仿宋" w:cs="Times New Roman"/>
          <w:color w:val="000000"/>
          <w:kern w:val="0"/>
          <w:sz w:val="32"/>
          <w:szCs w:val="32"/>
        </w:rPr>
        <w:t>50%</w:t>
      </w:r>
      <w:r>
        <w:rPr>
          <w:rFonts w:hint="eastAsia" w:ascii="Times New Roman" w:hAnsi="Times New Roman" w:eastAsia="仿宋" w:cs="仿宋"/>
          <w:color w:val="000000"/>
          <w:kern w:val="0"/>
          <w:sz w:val="32"/>
          <w:szCs w:val="32"/>
        </w:rPr>
        <w:t>，火化率较上一年度提高</w:t>
      </w:r>
      <w:r>
        <w:rPr>
          <w:rFonts w:ascii="Times New Roman" w:hAnsi="Times New Roman" w:eastAsia="仿宋" w:cs="Times New Roman"/>
          <w:color w:val="000000"/>
          <w:kern w:val="0"/>
          <w:sz w:val="32"/>
          <w:szCs w:val="32"/>
        </w:rPr>
        <w:t>2%”</w:t>
      </w:r>
      <w:r>
        <w:rPr>
          <w:rFonts w:hint="eastAsia" w:ascii="Times New Roman" w:hAnsi="Times New Roman" w:eastAsia="仿宋" w:cs="仿宋"/>
          <w:color w:val="000000"/>
          <w:kern w:val="0"/>
          <w:sz w:val="32"/>
          <w:szCs w:val="32"/>
        </w:rPr>
        <w:t>占</w:t>
      </w:r>
      <w:r>
        <w:rPr>
          <w:rFonts w:ascii="Times New Roman" w:hAnsi="Times New Roman" w:eastAsia="仿宋" w:cs="Times New Roman"/>
          <w:color w:val="000000"/>
          <w:kern w:val="0"/>
          <w:sz w:val="32"/>
          <w:szCs w:val="32"/>
        </w:rPr>
        <w:t>1.5</w:t>
      </w:r>
      <w:r>
        <w:rPr>
          <w:rFonts w:hint="eastAsia" w:ascii="Times New Roman" w:hAnsi="Times New Roman" w:eastAsia="仿宋" w:cs="仿宋"/>
          <w:color w:val="000000"/>
          <w:kern w:val="0"/>
          <w:sz w:val="32"/>
          <w:szCs w:val="32"/>
        </w:rPr>
        <w:t>分，评估方式为查阅火化记录和节地生态奖补政策文件等有关资料，对群众反映、举报或媒体曝光情况统计核查。出台节地生态奖补政策占</w:t>
      </w:r>
      <w:r>
        <w:rPr>
          <w:rFonts w:ascii="Times New Roman" w:hAnsi="Times New Roman" w:eastAsia="仿宋" w:cs="Times New Roman"/>
          <w:color w:val="000000"/>
          <w:kern w:val="0"/>
          <w:sz w:val="32"/>
          <w:szCs w:val="32"/>
        </w:rPr>
        <w:t>0.5</w:t>
      </w:r>
      <w:r>
        <w:rPr>
          <w:rFonts w:hint="eastAsia" w:ascii="Times New Roman" w:hAnsi="Times New Roman" w:eastAsia="仿宋" w:cs="仿宋"/>
          <w:color w:val="000000"/>
          <w:kern w:val="0"/>
          <w:sz w:val="32"/>
          <w:szCs w:val="32"/>
        </w:rPr>
        <w:t>分，没有出台的扣</w:t>
      </w:r>
      <w:r>
        <w:rPr>
          <w:rFonts w:ascii="Times New Roman" w:hAnsi="Times New Roman" w:eastAsia="仿宋" w:cs="Times New Roman"/>
          <w:color w:val="000000"/>
          <w:kern w:val="0"/>
          <w:sz w:val="32"/>
          <w:szCs w:val="32"/>
        </w:rPr>
        <w:t>0.5</w:t>
      </w:r>
      <w:r>
        <w:rPr>
          <w:rFonts w:hint="eastAsia" w:ascii="Times New Roman" w:hAnsi="Times New Roman" w:eastAsia="仿宋" w:cs="仿宋"/>
          <w:color w:val="000000"/>
          <w:kern w:val="0"/>
          <w:sz w:val="32"/>
          <w:szCs w:val="32"/>
        </w:rPr>
        <w:t>分；</w:t>
      </w:r>
      <w:r>
        <w:rPr>
          <w:rFonts w:ascii="Times New Roman" w:hAnsi="Times New Roman" w:eastAsia="仿宋" w:cs="Times New Roman"/>
          <w:color w:val="000000"/>
          <w:kern w:val="0"/>
          <w:sz w:val="32"/>
          <w:szCs w:val="32"/>
        </w:rPr>
        <w:t>“</w:t>
      </w:r>
      <w:r>
        <w:rPr>
          <w:rFonts w:hint="eastAsia" w:ascii="Times New Roman" w:hAnsi="Times New Roman" w:eastAsia="仿宋" w:cs="仿宋"/>
          <w:color w:val="000000"/>
          <w:kern w:val="0"/>
          <w:sz w:val="32"/>
          <w:szCs w:val="32"/>
        </w:rPr>
        <w:t>节地生态安葬率</w:t>
      </w:r>
      <w:r>
        <w:rPr>
          <w:rFonts w:ascii="Times New Roman" w:hAnsi="Times New Roman" w:eastAsia="仿宋" w:cs="Times New Roman"/>
          <w:color w:val="000000"/>
          <w:kern w:val="0"/>
          <w:sz w:val="32"/>
          <w:szCs w:val="32"/>
        </w:rPr>
        <w:t>2019</w:t>
      </w:r>
      <w:r>
        <w:rPr>
          <w:rFonts w:hint="eastAsia" w:ascii="Times New Roman" w:hAnsi="Times New Roman" w:eastAsia="仿宋" w:cs="仿宋"/>
          <w:color w:val="000000"/>
          <w:kern w:val="0"/>
          <w:sz w:val="32"/>
          <w:szCs w:val="32"/>
        </w:rPr>
        <w:t>年达</w:t>
      </w:r>
      <w:r>
        <w:rPr>
          <w:rFonts w:ascii="Times New Roman" w:hAnsi="Times New Roman" w:eastAsia="仿宋" w:cs="Times New Roman"/>
          <w:color w:val="000000"/>
          <w:kern w:val="0"/>
          <w:sz w:val="32"/>
          <w:szCs w:val="32"/>
        </w:rPr>
        <w:t>50%”</w:t>
      </w:r>
      <w:r>
        <w:rPr>
          <w:rFonts w:hint="eastAsia" w:ascii="Times New Roman" w:hAnsi="Times New Roman" w:eastAsia="仿宋" w:cs="仿宋"/>
          <w:color w:val="000000"/>
          <w:kern w:val="0"/>
          <w:sz w:val="32"/>
          <w:szCs w:val="32"/>
        </w:rPr>
        <w:t>占</w:t>
      </w:r>
      <w:r>
        <w:rPr>
          <w:rFonts w:ascii="Times New Roman" w:hAnsi="Times New Roman" w:eastAsia="仿宋" w:cs="Times New Roman"/>
          <w:color w:val="000000"/>
          <w:kern w:val="0"/>
          <w:sz w:val="32"/>
          <w:szCs w:val="32"/>
        </w:rPr>
        <w:t>0.5</w:t>
      </w:r>
      <w:r>
        <w:rPr>
          <w:rFonts w:hint="eastAsia" w:ascii="Times New Roman" w:hAnsi="Times New Roman" w:eastAsia="仿宋" w:cs="仿宋"/>
          <w:color w:val="000000"/>
          <w:kern w:val="0"/>
          <w:sz w:val="32"/>
          <w:szCs w:val="32"/>
        </w:rPr>
        <w:t>分，未达标的扣</w:t>
      </w:r>
      <w:r>
        <w:rPr>
          <w:rFonts w:ascii="Times New Roman" w:hAnsi="Times New Roman" w:eastAsia="仿宋" w:cs="Times New Roman"/>
          <w:color w:val="000000"/>
          <w:kern w:val="0"/>
          <w:sz w:val="32"/>
          <w:szCs w:val="32"/>
        </w:rPr>
        <w:t>0.5</w:t>
      </w:r>
      <w:r>
        <w:rPr>
          <w:rFonts w:hint="eastAsia" w:ascii="Times New Roman" w:hAnsi="Times New Roman" w:eastAsia="仿宋" w:cs="仿宋"/>
          <w:color w:val="000000"/>
          <w:kern w:val="0"/>
          <w:sz w:val="32"/>
          <w:szCs w:val="32"/>
        </w:rPr>
        <w:t>分；</w:t>
      </w:r>
      <w:r>
        <w:rPr>
          <w:rFonts w:ascii="Times New Roman" w:hAnsi="Times New Roman" w:eastAsia="仿宋" w:cs="Times New Roman"/>
          <w:color w:val="000000"/>
          <w:kern w:val="0"/>
          <w:sz w:val="32"/>
          <w:szCs w:val="32"/>
        </w:rPr>
        <w:t>“</w:t>
      </w:r>
      <w:r>
        <w:rPr>
          <w:rFonts w:hint="eastAsia" w:ascii="Times New Roman" w:hAnsi="Times New Roman" w:eastAsia="仿宋" w:cs="仿宋"/>
          <w:color w:val="000000"/>
          <w:kern w:val="0"/>
          <w:sz w:val="32"/>
          <w:szCs w:val="32"/>
        </w:rPr>
        <w:t>火化率较上一年度提高</w:t>
      </w:r>
      <w:r>
        <w:rPr>
          <w:rFonts w:ascii="Times New Roman" w:hAnsi="Times New Roman" w:eastAsia="仿宋" w:cs="Times New Roman"/>
          <w:color w:val="000000"/>
          <w:kern w:val="0"/>
          <w:sz w:val="32"/>
          <w:szCs w:val="32"/>
        </w:rPr>
        <w:t>2</w:t>
      </w:r>
      <w:r>
        <w:rPr>
          <w:rFonts w:hint="eastAsia" w:ascii="Times New Roman" w:hAnsi="Times New Roman" w:eastAsia="仿宋" w:cs="仿宋"/>
          <w:color w:val="000000"/>
          <w:kern w:val="0"/>
          <w:sz w:val="32"/>
          <w:szCs w:val="32"/>
        </w:rPr>
        <w:t>个百分点</w:t>
      </w:r>
      <w:r>
        <w:rPr>
          <w:rFonts w:ascii="Times New Roman" w:hAnsi="Times New Roman" w:eastAsia="仿宋" w:cs="Times New Roman"/>
          <w:color w:val="000000"/>
          <w:kern w:val="0"/>
          <w:sz w:val="32"/>
          <w:szCs w:val="32"/>
        </w:rPr>
        <w:t>”</w:t>
      </w:r>
      <w:r>
        <w:rPr>
          <w:rFonts w:hint="eastAsia" w:ascii="Times New Roman" w:hAnsi="Times New Roman" w:eastAsia="仿宋" w:cs="仿宋"/>
          <w:color w:val="000000"/>
          <w:kern w:val="0"/>
          <w:sz w:val="32"/>
          <w:szCs w:val="32"/>
        </w:rPr>
        <w:t>占</w:t>
      </w:r>
      <w:r>
        <w:rPr>
          <w:rFonts w:ascii="Times New Roman" w:hAnsi="Times New Roman" w:eastAsia="仿宋" w:cs="Times New Roman"/>
          <w:color w:val="000000"/>
          <w:kern w:val="0"/>
          <w:sz w:val="32"/>
          <w:szCs w:val="32"/>
        </w:rPr>
        <w:t>0.5</w:t>
      </w:r>
      <w:r>
        <w:rPr>
          <w:rFonts w:hint="eastAsia" w:ascii="Times New Roman" w:hAnsi="Times New Roman" w:eastAsia="仿宋" w:cs="仿宋"/>
          <w:color w:val="000000"/>
          <w:kern w:val="0"/>
          <w:sz w:val="32"/>
          <w:szCs w:val="32"/>
        </w:rPr>
        <w:t>分，未达标的扣</w:t>
      </w:r>
      <w:r>
        <w:rPr>
          <w:rFonts w:ascii="Times New Roman" w:hAnsi="Times New Roman" w:eastAsia="仿宋" w:cs="Times New Roman"/>
          <w:color w:val="000000"/>
          <w:kern w:val="0"/>
          <w:sz w:val="32"/>
          <w:szCs w:val="32"/>
        </w:rPr>
        <w:t>0.5</w:t>
      </w:r>
      <w:r>
        <w:rPr>
          <w:rFonts w:hint="eastAsia" w:ascii="Times New Roman" w:hAnsi="Times New Roman" w:eastAsia="仿宋" w:cs="仿宋"/>
          <w:color w:val="000000"/>
          <w:kern w:val="0"/>
          <w:sz w:val="32"/>
          <w:szCs w:val="32"/>
        </w:rPr>
        <w:t>分。</w:t>
      </w:r>
    </w:p>
    <w:tbl>
      <w:tblPr>
        <w:tblStyle w:val="7"/>
        <w:tblW w:w="8756"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74"/>
        <w:gridCol w:w="5798"/>
        <w:gridCol w:w="11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23" w:hRule="atLeast"/>
          <w:jc w:val="center"/>
        </w:trPr>
        <w:tc>
          <w:tcPr>
            <w:tcW w:w="1774" w:type="dxa"/>
            <w:vAlign w:val="center"/>
          </w:tcPr>
          <w:p>
            <w:pPr>
              <w:spacing w:line="400" w:lineRule="exact"/>
              <w:jc w:val="center"/>
              <w:rPr>
                <w:rFonts w:ascii="Times New Roman" w:hAnsi="Times New Roman" w:cs="Times New Roman"/>
                <w:color w:val="000000"/>
                <w:sz w:val="24"/>
                <w:szCs w:val="24"/>
              </w:rPr>
            </w:pPr>
            <w:r>
              <w:rPr>
                <w:rFonts w:hint="eastAsia" w:ascii="Times New Roman" w:hAnsi="Times New Roman" w:cs="宋体"/>
                <w:color w:val="000000"/>
                <w:sz w:val="24"/>
                <w:szCs w:val="24"/>
              </w:rPr>
              <w:t>（十八）</w:t>
            </w:r>
          </w:p>
        </w:tc>
        <w:tc>
          <w:tcPr>
            <w:tcW w:w="5798" w:type="dxa"/>
            <w:vAlign w:val="center"/>
          </w:tcPr>
          <w:p>
            <w:pPr>
              <w:spacing w:line="400" w:lineRule="exact"/>
              <w:rPr>
                <w:rFonts w:ascii="Times New Roman" w:hAnsi="Times New Roman" w:cs="Times New Roman"/>
                <w:color w:val="000000"/>
                <w:sz w:val="24"/>
                <w:szCs w:val="24"/>
              </w:rPr>
            </w:pPr>
            <w:r>
              <w:rPr>
                <w:rFonts w:hint="eastAsia" w:ascii="Times New Roman" w:hAnsi="Times New Roman" w:cs="宋体"/>
                <w:color w:val="000000"/>
                <w:sz w:val="24"/>
                <w:szCs w:val="24"/>
              </w:rPr>
              <w:t>按标准建设社会组织孵化基地，有</w:t>
            </w:r>
            <w:r>
              <w:rPr>
                <w:rFonts w:ascii="Times New Roman" w:hAnsi="Times New Roman" w:cs="Times New Roman"/>
                <w:color w:val="000000"/>
                <w:sz w:val="24"/>
                <w:szCs w:val="24"/>
              </w:rPr>
              <w:t>300</w:t>
            </w:r>
            <w:r>
              <w:rPr>
                <w:rFonts w:hint="eastAsia" w:ascii="Times New Roman" w:hAnsi="Times New Roman" w:cs="宋体"/>
                <w:color w:val="000000"/>
                <w:sz w:val="24"/>
                <w:szCs w:val="24"/>
              </w:rPr>
              <w:t>平方米以上专用场地，安排社会组织孵化基地运营管理费用，</w:t>
            </w:r>
            <w:r>
              <w:rPr>
                <w:rFonts w:ascii="Times New Roman" w:hAnsi="Times New Roman" w:cs="Times New Roman"/>
                <w:color w:val="000000"/>
                <w:sz w:val="24"/>
                <w:szCs w:val="24"/>
              </w:rPr>
              <w:t>10</w:t>
            </w:r>
            <w:r>
              <w:rPr>
                <w:rFonts w:hint="eastAsia" w:ascii="Times New Roman" w:hAnsi="Times New Roman" w:cs="宋体"/>
                <w:color w:val="000000"/>
                <w:sz w:val="24"/>
                <w:szCs w:val="24"/>
              </w:rPr>
              <w:t>家以上社会组织入驻、培育达标率</w:t>
            </w:r>
            <w:r>
              <w:rPr>
                <w:rFonts w:ascii="Times New Roman" w:hAnsi="Times New Roman" w:cs="Times New Roman"/>
                <w:color w:val="000000"/>
                <w:sz w:val="24"/>
                <w:szCs w:val="24"/>
              </w:rPr>
              <w:t>100%</w:t>
            </w:r>
            <w:r>
              <w:rPr>
                <w:rFonts w:hint="eastAsia" w:ascii="Times New Roman" w:hAnsi="Times New Roman" w:cs="宋体"/>
                <w:color w:val="000000"/>
                <w:sz w:val="24"/>
                <w:szCs w:val="24"/>
              </w:rPr>
              <w:t>，培训本级社会组织</w:t>
            </w:r>
            <w:r>
              <w:rPr>
                <w:rFonts w:ascii="Times New Roman" w:hAnsi="Times New Roman" w:cs="Times New Roman"/>
                <w:color w:val="000000"/>
                <w:sz w:val="24"/>
                <w:szCs w:val="24"/>
              </w:rPr>
              <w:t>50%</w:t>
            </w:r>
            <w:r>
              <w:rPr>
                <w:rFonts w:hint="eastAsia" w:ascii="Times New Roman" w:hAnsi="Times New Roman" w:cs="宋体"/>
                <w:color w:val="000000"/>
                <w:sz w:val="24"/>
                <w:szCs w:val="24"/>
              </w:rPr>
              <w:t>以上。</w:t>
            </w:r>
          </w:p>
        </w:tc>
        <w:tc>
          <w:tcPr>
            <w:tcW w:w="1184" w:type="dxa"/>
            <w:vAlign w:val="center"/>
          </w:tcPr>
          <w:p>
            <w:pPr>
              <w:spacing w:line="400" w:lineRule="exact"/>
              <w:jc w:val="center"/>
              <w:rPr>
                <w:rFonts w:ascii="Times New Roman" w:hAnsi="Times New Roman" w:cs="Times New Roman"/>
                <w:color w:val="000000"/>
                <w:sz w:val="24"/>
                <w:szCs w:val="24"/>
              </w:rPr>
            </w:pPr>
            <w:r>
              <w:rPr>
                <w:rFonts w:ascii="Times New Roman" w:hAnsi="Times New Roman" w:cs="Times New Roman"/>
                <w:color w:val="000000"/>
                <w:sz w:val="24"/>
                <w:szCs w:val="24"/>
              </w:rPr>
              <w:t>4</w:t>
            </w:r>
            <w:r>
              <w:rPr>
                <w:rFonts w:hint="eastAsia" w:ascii="Times New Roman" w:hAnsi="Times New Roman" w:cs="宋体"/>
                <w:color w:val="000000"/>
                <w:sz w:val="24"/>
                <w:szCs w:val="24"/>
              </w:rPr>
              <w:t>分</w:t>
            </w:r>
          </w:p>
        </w:tc>
      </w:tr>
    </w:tbl>
    <w:p>
      <w:pPr>
        <w:spacing w:line="580" w:lineRule="exact"/>
        <w:ind w:firstLine="640" w:firstLineChars="200"/>
        <w:rPr>
          <w:rFonts w:ascii="Times New Roman" w:hAnsi="Times New Roman" w:eastAsia="仿宋" w:cs="Times New Roman"/>
          <w:color w:val="000000"/>
          <w:kern w:val="0"/>
          <w:sz w:val="32"/>
          <w:szCs w:val="32"/>
        </w:rPr>
      </w:pPr>
      <w:r>
        <w:rPr>
          <w:rFonts w:hint="eastAsia" w:ascii="Times New Roman" w:hAnsi="Times New Roman" w:eastAsia="仿宋" w:cs="仿宋"/>
          <w:color w:val="000000"/>
          <w:sz w:val="32"/>
          <w:szCs w:val="32"/>
        </w:rPr>
        <w:t>本项指标从社会组织孵化基地方面进行评估。目标值的确定依据主要是《湖南省</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十三五</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民政事业发展规划》、《湖南省社会组织孵化基地建设省级补助资金管理办法（试行）》、《湖南省社会组织孵化基地建设实施方案》。</w:t>
      </w:r>
      <w:r>
        <w:rPr>
          <w:rFonts w:ascii="Times New Roman" w:hAnsi="Times New Roman" w:eastAsia="仿宋" w:cs="Times New Roman"/>
          <w:color w:val="000000"/>
          <w:sz w:val="32"/>
          <w:szCs w:val="32"/>
        </w:rPr>
        <w:t>“</w:t>
      </w:r>
      <w:r>
        <w:rPr>
          <w:rFonts w:hint="eastAsia" w:ascii="Times New Roman" w:hAnsi="Times New Roman" w:eastAsia="仿宋" w:cs="仿宋"/>
          <w:color w:val="000000"/>
          <w:kern w:val="0"/>
          <w:sz w:val="32"/>
          <w:szCs w:val="32"/>
        </w:rPr>
        <w:t>有</w:t>
      </w:r>
      <w:r>
        <w:rPr>
          <w:rFonts w:ascii="Times New Roman" w:hAnsi="Times New Roman" w:eastAsia="仿宋" w:cs="Times New Roman"/>
          <w:color w:val="000000"/>
          <w:kern w:val="0"/>
          <w:sz w:val="32"/>
          <w:szCs w:val="32"/>
        </w:rPr>
        <w:t>300</w:t>
      </w:r>
      <w:r>
        <w:rPr>
          <w:rFonts w:hint="eastAsia" w:ascii="Times New Roman" w:hAnsi="Times New Roman" w:eastAsia="仿宋" w:cs="仿宋"/>
          <w:color w:val="000000"/>
          <w:kern w:val="0"/>
          <w:sz w:val="32"/>
          <w:szCs w:val="32"/>
        </w:rPr>
        <w:t>平方米以上专用场地</w:t>
      </w:r>
      <w:r>
        <w:rPr>
          <w:rFonts w:ascii="Times New Roman" w:hAnsi="Times New Roman" w:eastAsia="仿宋" w:cs="Times New Roman"/>
          <w:color w:val="000000"/>
          <w:kern w:val="0"/>
          <w:sz w:val="32"/>
          <w:szCs w:val="32"/>
        </w:rPr>
        <w:t>”</w:t>
      </w:r>
      <w:r>
        <w:rPr>
          <w:rFonts w:hint="eastAsia" w:ascii="Times New Roman" w:hAnsi="Times New Roman" w:eastAsia="仿宋" w:cs="仿宋"/>
          <w:color w:val="000000"/>
          <w:kern w:val="0"/>
          <w:sz w:val="32"/>
          <w:szCs w:val="32"/>
        </w:rPr>
        <w:t>占</w:t>
      </w:r>
      <w:r>
        <w:rPr>
          <w:rFonts w:ascii="Times New Roman" w:hAnsi="Times New Roman" w:eastAsia="仿宋" w:cs="Times New Roman"/>
          <w:color w:val="000000"/>
          <w:kern w:val="0"/>
          <w:sz w:val="32"/>
          <w:szCs w:val="32"/>
        </w:rPr>
        <w:t>2</w:t>
      </w:r>
      <w:r>
        <w:rPr>
          <w:rFonts w:hint="eastAsia" w:ascii="Times New Roman" w:hAnsi="Times New Roman" w:eastAsia="仿宋" w:cs="仿宋"/>
          <w:color w:val="000000"/>
          <w:kern w:val="0"/>
          <w:sz w:val="32"/>
          <w:szCs w:val="32"/>
        </w:rPr>
        <w:t>分，评估方式为现场查看县市区社会组织孵化基地，</w:t>
      </w:r>
      <w:r>
        <w:rPr>
          <w:rFonts w:ascii="Times New Roman" w:hAnsi="Times New Roman" w:eastAsia="仿宋" w:cs="Times New Roman"/>
          <w:color w:val="000000"/>
          <w:kern w:val="0"/>
          <w:sz w:val="32"/>
          <w:szCs w:val="32"/>
        </w:rPr>
        <w:t>200</w:t>
      </w:r>
      <w:r>
        <w:rPr>
          <w:rFonts w:hint="eastAsia" w:ascii="Times New Roman" w:hAnsi="Times New Roman" w:eastAsia="仿宋" w:cs="仿宋"/>
          <w:color w:val="000000"/>
          <w:kern w:val="0"/>
          <w:sz w:val="32"/>
          <w:szCs w:val="32"/>
        </w:rPr>
        <w:t>平米以上</w:t>
      </w:r>
      <w:r>
        <w:rPr>
          <w:rFonts w:ascii="Times New Roman" w:hAnsi="Times New Roman" w:eastAsia="仿宋" w:cs="Times New Roman"/>
          <w:color w:val="000000"/>
          <w:kern w:val="0"/>
          <w:sz w:val="32"/>
          <w:szCs w:val="32"/>
        </w:rPr>
        <w:t>300</w:t>
      </w:r>
      <w:r>
        <w:rPr>
          <w:rFonts w:hint="eastAsia" w:ascii="Times New Roman" w:hAnsi="Times New Roman" w:eastAsia="仿宋" w:cs="仿宋"/>
          <w:color w:val="000000"/>
          <w:kern w:val="0"/>
          <w:sz w:val="32"/>
          <w:szCs w:val="32"/>
        </w:rPr>
        <w:t>平米以下的扣</w:t>
      </w:r>
      <w:r>
        <w:rPr>
          <w:rFonts w:ascii="Times New Roman" w:hAnsi="Times New Roman" w:eastAsia="仿宋" w:cs="Times New Roman"/>
          <w:color w:val="000000"/>
          <w:kern w:val="0"/>
          <w:sz w:val="32"/>
          <w:szCs w:val="32"/>
        </w:rPr>
        <w:t>0.8</w:t>
      </w:r>
      <w:r>
        <w:rPr>
          <w:rFonts w:hint="eastAsia" w:ascii="Times New Roman" w:hAnsi="Times New Roman" w:eastAsia="仿宋" w:cs="仿宋"/>
          <w:color w:val="000000"/>
          <w:kern w:val="0"/>
          <w:sz w:val="32"/>
          <w:szCs w:val="32"/>
        </w:rPr>
        <w:t>分，</w:t>
      </w:r>
      <w:r>
        <w:rPr>
          <w:rFonts w:ascii="Times New Roman" w:hAnsi="Times New Roman" w:eastAsia="仿宋" w:cs="Times New Roman"/>
          <w:color w:val="000000"/>
          <w:kern w:val="0"/>
          <w:sz w:val="32"/>
          <w:szCs w:val="32"/>
        </w:rPr>
        <w:t>100</w:t>
      </w:r>
      <w:r>
        <w:rPr>
          <w:rFonts w:hint="eastAsia" w:ascii="Times New Roman" w:hAnsi="Times New Roman" w:eastAsia="仿宋" w:cs="仿宋"/>
          <w:color w:val="000000"/>
          <w:kern w:val="0"/>
          <w:sz w:val="32"/>
          <w:szCs w:val="32"/>
        </w:rPr>
        <w:t>平米以上</w:t>
      </w:r>
      <w:r>
        <w:rPr>
          <w:rFonts w:ascii="Times New Roman" w:hAnsi="Times New Roman" w:eastAsia="仿宋" w:cs="Times New Roman"/>
          <w:color w:val="000000"/>
          <w:kern w:val="0"/>
          <w:sz w:val="32"/>
          <w:szCs w:val="32"/>
        </w:rPr>
        <w:t>200</w:t>
      </w:r>
      <w:r>
        <w:rPr>
          <w:rFonts w:hint="eastAsia" w:ascii="Times New Roman" w:hAnsi="Times New Roman" w:eastAsia="仿宋" w:cs="仿宋"/>
          <w:color w:val="000000"/>
          <w:kern w:val="0"/>
          <w:sz w:val="32"/>
          <w:szCs w:val="32"/>
        </w:rPr>
        <w:t>平米以下的扣</w:t>
      </w:r>
      <w:r>
        <w:rPr>
          <w:rFonts w:ascii="Times New Roman" w:hAnsi="Times New Roman" w:eastAsia="仿宋" w:cs="Times New Roman"/>
          <w:color w:val="000000"/>
          <w:kern w:val="0"/>
          <w:sz w:val="32"/>
          <w:szCs w:val="32"/>
        </w:rPr>
        <w:t>1.2</w:t>
      </w:r>
      <w:r>
        <w:rPr>
          <w:rFonts w:hint="eastAsia" w:ascii="Times New Roman" w:hAnsi="Times New Roman" w:eastAsia="仿宋" w:cs="仿宋"/>
          <w:color w:val="000000"/>
          <w:kern w:val="0"/>
          <w:sz w:val="32"/>
          <w:szCs w:val="32"/>
        </w:rPr>
        <w:t>分，</w:t>
      </w:r>
      <w:r>
        <w:rPr>
          <w:rFonts w:ascii="Times New Roman" w:hAnsi="Times New Roman" w:eastAsia="仿宋" w:cs="Times New Roman"/>
          <w:color w:val="000000"/>
          <w:kern w:val="0"/>
          <w:sz w:val="32"/>
          <w:szCs w:val="32"/>
        </w:rPr>
        <w:t>100</w:t>
      </w:r>
      <w:r>
        <w:rPr>
          <w:rFonts w:hint="eastAsia" w:ascii="Times New Roman" w:hAnsi="Times New Roman" w:eastAsia="仿宋" w:cs="仿宋"/>
          <w:color w:val="000000"/>
          <w:kern w:val="0"/>
          <w:sz w:val="32"/>
          <w:szCs w:val="32"/>
        </w:rPr>
        <w:t>平米以下的扣</w:t>
      </w:r>
      <w:r>
        <w:rPr>
          <w:rFonts w:ascii="Times New Roman" w:hAnsi="Times New Roman" w:eastAsia="仿宋" w:cs="Times New Roman"/>
          <w:color w:val="000000"/>
          <w:kern w:val="0"/>
          <w:sz w:val="32"/>
          <w:szCs w:val="32"/>
        </w:rPr>
        <w:t>2</w:t>
      </w:r>
      <w:r>
        <w:rPr>
          <w:rFonts w:hint="eastAsia" w:ascii="Times New Roman" w:hAnsi="Times New Roman" w:eastAsia="仿宋" w:cs="仿宋"/>
          <w:color w:val="000000"/>
          <w:kern w:val="0"/>
          <w:sz w:val="32"/>
          <w:szCs w:val="32"/>
        </w:rPr>
        <w:t>分。</w:t>
      </w:r>
      <w:r>
        <w:rPr>
          <w:rFonts w:ascii="Times New Roman" w:hAnsi="Times New Roman" w:eastAsia="仿宋" w:cs="Times New Roman"/>
          <w:color w:val="000000"/>
          <w:kern w:val="0"/>
          <w:sz w:val="32"/>
          <w:szCs w:val="32"/>
        </w:rPr>
        <w:t>“</w:t>
      </w:r>
      <w:r>
        <w:rPr>
          <w:rFonts w:hint="eastAsia" w:ascii="Times New Roman" w:hAnsi="Times New Roman" w:eastAsia="仿宋" w:cs="仿宋"/>
          <w:color w:val="000000"/>
          <w:kern w:val="0"/>
          <w:sz w:val="32"/>
          <w:szCs w:val="32"/>
        </w:rPr>
        <w:t>安排社会组织孵化基地运营管理费用</w:t>
      </w:r>
      <w:r>
        <w:rPr>
          <w:rFonts w:ascii="Times New Roman" w:hAnsi="Times New Roman" w:eastAsia="仿宋" w:cs="Times New Roman"/>
          <w:color w:val="000000"/>
          <w:kern w:val="0"/>
          <w:sz w:val="32"/>
          <w:szCs w:val="32"/>
        </w:rPr>
        <w:t>”</w:t>
      </w:r>
      <w:r>
        <w:rPr>
          <w:rFonts w:hint="eastAsia" w:ascii="Times New Roman" w:hAnsi="Times New Roman" w:eastAsia="仿宋" w:cs="仿宋"/>
          <w:color w:val="000000"/>
          <w:kern w:val="0"/>
          <w:sz w:val="32"/>
          <w:szCs w:val="32"/>
        </w:rPr>
        <w:t>占</w:t>
      </w:r>
      <w:r>
        <w:rPr>
          <w:rFonts w:ascii="Times New Roman" w:hAnsi="Times New Roman" w:eastAsia="仿宋" w:cs="Times New Roman"/>
          <w:color w:val="000000"/>
          <w:kern w:val="0"/>
          <w:sz w:val="32"/>
          <w:szCs w:val="32"/>
        </w:rPr>
        <w:t>0.5</w:t>
      </w:r>
      <w:r>
        <w:rPr>
          <w:rFonts w:hint="eastAsia" w:ascii="Times New Roman" w:hAnsi="Times New Roman" w:eastAsia="仿宋" w:cs="仿宋"/>
          <w:color w:val="000000"/>
          <w:kern w:val="0"/>
          <w:sz w:val="32"/>
          <w:szCs w:val="32"/>
        </w:rPr>
        <w:t>分，未达标的扣</w:t>
      </w:r>
      <w:r>
        <w:rPr>
          <w:rFonts w:ascii="Times New Roman" w:hAnsi="Times New Roman" w:eastAsia="仿宋" w:cs="Times New Roman"/>
          <w:color w:val="000000"/>
          <w:kern w:val="0"/>
          <w:sz w:val="32"/>
          <w:szCs w:val="32"/>
        </w:rPr>
        <w:t>0.5</w:t>
      </w:r>
      <w:r>
        <w:rPr>
          <w:rFonts w:hint="eastAsia" w:ascii="Times New Roman" w:hAnsi="Times New Roman" w:eastAsia="仿宋" w:cs="仿宋"/>
          <w:color w:val="000000"/>
          <w:kern w:val="0"/>
          <w:sz w:val="32"/>
          <w:szCs w:val="32"/>
        </w:rPr>
        <w:t>分。</w:t>
      </w:r>
      <w:r>
        <w:rPr>
          <w:rFonts w:ascii="Times New Roman" w:hAnsi="Times New Roman" w:eastAsia="仿宋" w:cs="Times New Roman"/>
          <w:color w:val="000000"/>
          <w:kern w:val="0"/>
          <w:sz w:val="32"/>
          <w:szCs w:val="32"/>
        </w:rPr>
        <w:t>“10</w:t>
      </w:r>
      <w:r>
        <w:rPr>
          <w:rFonts w:hint="eastAsia" w:ascii="Times New Roman" w:hAnsi="Times New Roman" w:eastAsia="仿宋" w:cs="仿宋"/>
          <w:color w:val="000000"/>
          <w:kern w:val="0"/>
          <w:sz w:val="32"/>
          <w:szCs w:val="32"/>
        </w:rPr>
        <w:t>家以上社会组织入驻，培育达标率</w:t>
      </w:r>
      <w:r>
        <w:rPr>
          <w:rFonts w:ascii="Times New Roman" w:hAnsi="Times New Roman" w:eastAsia="仿宋" w:cs="Times New Roman"/>
          <w:color w:val="000000"/>
          <w:kern w:val="0"/>
          <w:sz w:val="32"/>
          <w:szCs w:val="32"/>
        </w:rPr>
        <w:t>100%”</w:t>
      </w:r>
      <w:r>
        <w:rPr>
          <w:rFonts w:hint="eastAsia" w:ascii="Times New Roman" w:hAnsi="Times New Roman" w:eastAsia="仿宋" w:cs="仿宋"/>
          <w:color w:val="000000"/>
          <w:kern w:val="0"/>
          <w:sz w:val="32"/>
          <w:szCs w:val="32"/>
        </w:rPr>
        <w:t>占</w:t>
      </w:r>
      <w:r>
        <w:rPr>
          <w:rFonts w:ascii="Times New Roman" w:hAnsi="Times New Roman" w:eastAsia="仿宋" w:cs="Times New Roman"/>
          <w:color w:val="000000"/>
          <w:kern w:val="0"/>
          <w:sz w:val="32"/>
          <w:szCs w:val="32"/>
        </w:rPr>
        <w:t>1</w:t>
      </w:r>
      <w:r>
        <w:rPr>
          <w:rFonts w:hint="eastAsia" w:ascii="Times New Roman" w:hAnsi="Times New Roman" w:eastAsia="仿宋" w:cs="仿宋"/>
          <w:color w:val="000000"/>
          <w:kern w:val="0"/>
          <w:sz w:val="32"/>
          <w:szCs w:val="32"/>
        </w:rPr>
        <w:t>分，评估方式为现场查看县市区社会组织孵化基地使用情况，县级社会组织孵化基地入驻社会组织达到</w:t>
      </w:r>
      <w:r>
        <w:rPr>
          <w:rFonts w:ascii="Times New Roman" w:hAnsi="Times New Roman" w:eastAsia="仿宋" w:cs="Times New Roman"/>
          <w:color w:val="000000"/>
          <w:kern w:val="0"/>
          <w:sz w:val="32"/>
          <w:szCs w:val="32"/>
        </w:rPr>
        <w:t>10</w:t>
      </w:r>
      <w:r>
        <w:rPr>
          <w:rFonts w:hint="eastAsia" w:ascii="Times New Roman" w:hAnsi="Times New Roman" w:eastAsia="仿宋" w:cs="仿宋"/>
          <w:color w:val="000000"/>
          <w:kern w:val="0"/>
          <w:sz w:val="32"/>
          <w:szCs w:val="32"/>
        </w:rPr>
        <w:t>家以上，培育</w:t>
      </w:r>
      <w:r>
        <w:rPr>
          <w:rFonts w:ascii="Times New Roman" w:hAnsi="Times New Roman" w:eastAsia="仿宋" w:cs="Times New Roman"/>
          <w:color w:val="000000"/>
          <w:kern w:val="0"/>
          <w:sz w:val="32"/>
          <w:szCs w:val="32"/>
        </w:rPr>
        <w:t>5-8</w:t>
      </w:r>
      <w:r>
        <w:rPr>
          <w:rFonts w:hint="eastAsia" w:ascii="Times New Roman" w:hAnsi="Times New Roman" w:eastAsia="仿宋" w:cs="仿宋"/>
          <w:color w:val="000000"/>
          <w:kern w:val="0"/>
          <w:sz w:val="32"/>
          <w:szCs w:val="32"/>
        </w:rPr>
        <w:t>家的扣</w:t>
      </w:r>
      <w:r>
        <w:rPr>
          <w:rFonts w:ascii="Times New Roman" w:hAnsi="Times New Roman" w:eastAsia="仿宋" w:cs="Times New Roman"/>
          <w:color w:val="000000"/>
          <w:kern w:val="0"/>
          <w:sz w:val="32"/>
          <w:szCs w:val="32"/>
        </w:rPr>
        <w:t>0.4</w:t>
      </w:r>
      <w:r>
        <w:rPr>
          <w:rFonts w:hint="eastAsia" w:ascii="Times New Roman" w:hAnsi="Times New Roman" w:eastAsia="仿宋" w:cs="仿宋"/>
          <w:color w:val="000000"/>
          <w:kern w:val="0"/>
          <w:sz w:val="32"/>
          <w:szCs w:val="32"/>
        </w:rPr>
        <w:t>分，培育</w:t>
      </w:r>
      <w:r>
        <w:rPr>
          <w:rFonts w:ascii="Times New Roman" w:hAnsi="Times New Roman" w:eastAsia="仿宋" w:cs="Times New Roman"/>
          <w:color w:val="000000"/>
          <w:kern w:val="0"/>
          <w:sz w:val="32"/>
          <w:szCs w:val="32"/>
        </w:rPr>
        <w:t>5</w:t>
      </w:r>
      <w:r>
        <w:rPr>
          <w:rFonts w:hint="eastAsia" w:ascii="Times New Roman" w:hAnsi="Times New Roman" w:eastAsia="仿宋" w:cs="仿宋"/>
          <w:color w:val="000000"/>
          <w:kern w:val="0"/>
          <w:sz w:val="32"/>
          <w:szCs w:val="32"/>
        </w:rPr>
        <w:t>家以下扣</w:t>
      </w:r>
      <w:r>
        <w:rPr>
          <w:rFonts w:ascii="Times New Roman" w:hAnsi="Times New Roman" w:eastAsia="仿宋" w:cs="Times New Roman"/>
          <w:color w:val="000000"/>
          <w:kern w:val="0"/>
          <w:sz w:val="32"/>
          <w:szCs w:val="32"/>
        </w:rPr>
        <w:t>1</w:t>
      </w:r>
      <w:r>
        <w:rPr>
          <w:rFonts w:hint="eastAsia" w:ascii="Times New Roman" w:hAnsi="Times New Roman" w:eastAsia="仿宋" w:cs="仿宋"/>
          <w:color w:val="000000"/>
          <w:kern w:val="0"/>
          <w:sz w:val="32"/>
          <w:szCs w:val="32"/>
        </w:rPr>
        <w:t>分。</w:t>
      </w:r>
      <w:r>
        <w:rPr>
          <w:rFonts w:ascii="Times New Roman" w:hAnsi="Times New Roman" w:eastAsia="仿宋" w:cs="Times New Roman"/>
          <w:color w:val="000000"/>
          <w:kern w:val="0"/>
          <w:sz w:val="32"/>
          <w:szCs w:val="32"/>
        </w:rPr>
        <w:t>“</w:t>
      </w:r>
      <w:r>
        <w:rPr>
          <w:rFonts w:hint="eastAsia" w:ascii="Times New Roman" w:hAnsi="Times New Roman" w:eastAsia="仿宋" w:cs="仿宋"/>
          <w:color w:val="000000"/>
          <w:kern w:val="0"/>
          <w:sz w:val="32"/>
          <w:szCs w:val="32"/>
        </w:rPr>
        <w:t>培训本级社会组织</w:t>
      </w:r>
      <w:r>
        <w:rPr>
          <w:rFonts w:ascii="Times New Roman" w:hAnsi="Times New Roman" w:eastAsia="仿宋" w:cs="Times New Roman"/>
          <w:color w:val="000000"/>
          <w:kern w:val="0"/>
          <w:sz w:val="32"/>
          <w:szCs w:val="32"/>
        </w:rPr>
        <w:t>50%</w:t>
      </w:r>
      <w:r>
        <w:rPr>
          <w:rFonts w:hint="eastAsia" w:ascii="Times New Roman" w:hAnsi="Times New Roman" w:eastAsia="仿宋" w:cs="仿宋"/>
          <w:color w:val="000000"/>
          <w:kern w:val="0"/>
          <w:sz w:val="32"/>
          <w:szCs w:val="32"/>
        </w:rPr>
        <w:t>以上</w:t>
      </w:r>
      <w:r>
        <w:rPr>
          <w:rFonts w:ascii="Times New Roman" w:hAnsi="Times New Roman" w:eastAsia="仿宋" w:cs="Times New Roman"/>
          <w:color w:val="000000"/>
          <w:kern w:val="0"/>
          <w:sz w:val="32"/>
          <w:szCs w:val="32"/>
        </w:rPr>
        <w:t>”</w:t>
      </w:r>
      <w:r>
        <w:rPr>
          <w:rFonts w:hint="eastAsia" w:ascii="Times New Roman" w:hAnsi="Times New Roman" w:eastAsia="仿宋" w:cs="仿宋"/>
          <w:color w:val="000000"/>
          <w:kern w:val="0"/>
          <w:sz w:val="32"/>
          <w:szCs w:val="32"/>
        </w:rPr>
        <w:t>占</w:t>
      </w:r>
      <w:r>
        <w:rPr>
          <w:rFonts w:ascii="Times New Roman" w:hAnsi="Times New Roman" w:eastAsia="仿宋" w:cs="Times New Roman"/>
          <w:color w:val="000000"/>
          <w:kern w:val="0"/>
          <w:sz w:val="32"/>
          <w:szCs w:val="32"/>
        </w:rPr>
        <w:t>0.5</w:t>
      </w:r>
      <w:r>
        <w:rPr>
          <w:rFonts w:hint="eastAsia" w:ascii="Times New Roman" w:hAnsi="Times New Roman" w:eastAsia="仿宋" w:cs="仿宋"/>
          <w:color w:val="000000"/>
          <w:kern w:val="0"/>
          <w:sz w:val="32"/>
          <w:szCs w:val="32"/>
        </w:rPr>
        <w:t>分，未达标的扣</w:t>
      </w:r>
      <w:r>
        <w:rPr>
          <w:rFonts w:ascii="Times New Roman" w:hAnsi="Times New Roman" w:eastAsia="仿宋" w:cs="Times New Roman"/>
          <w:color w:val="000000"/>
          <w:kern w:val="0"/>
          <w:sz w:val="32"/>
          <w:szCs w:val="32"/>
        </w:rPr>
        <w:t>0.5</w:t>
      </w:r>
      <w:r>
        <w:rPr>
          <w:rFonts w:hint="eastAsia" w:ascii="Times New Roman" w:hAnsi="Times New Roman" w:eastAsia="仿宋" w:cs="仿宋"/>
          <w:color w:val="000000"/>
          <w:kern w:val="0"/>
          <w:sz w:val="32"/>
          <w:szCs w:val="32"/>
        </w:rPr>
        <w:t>分。</w:t>
      </w:r>
    </w:p>
    <w:tbl>
      <w:tblPr>
        <w:tblStyle w:val="7"/>
        <w:tblW w:w="872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46"/>
        <w:gridCol w:w="5798"/>
        <w:gridCol w:w="11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746" w:type="dxa"/>
            <w:vAlign w:val="center"/>
          </w:tcPr>
          <w:p>
            <w:pPr>
              <w:spacing w:line="400" w:lineRule="exact"/>
              <w:jc w:val="center"/>
              <w:rPr>
                <w:rFonts w:ascii="Times New Roman" w:hAnsi="Times New Roman" w:cs="Times New Roman"/>
                <w:color w:val="000000"/>
                <w:sz w:val="24"/>
                <w:szCs w:val="24"/>
              </w:rPr>
            </w:pPr>
            <w:r>
              <w:rPr>
                <w:rFonts w:hint="eastAsia" w:ascii="Times New Roman" w:hAnsi="Times New Roman" w:cs="宋体"/>
                <w:color w:val="000000"/>
                <w:sz w:val="24"/>
                <w:szCs w:val="24"/>
              </w:rPr>
              <w:t>（十九）</w:t>
            </w:r>
          </w:p>
        </w:tc>
        <w:tc>
          <w:tcPr>
            <w:tcW w:w="5798" w:type="dxa"/>
            <w:vAlign w:val="center"/>
          </w:tcPr>
          <w:p>
            <w:pPr>
              <w:spacing w:line="400" w:lineRule="exact"/>
              <w:rPr>
                <w:rFonts w:ascii="Times New Roman" w:hAnsi="Times New Roman" w:cs="Times New Roman"/>
                <w:color w:val="000000"/>
                <w:sz w:val="24"/>
                <w:szCs w:val="24"/>
              </w:rPr>
            </w:pPr>
            <w:r>
              <w:rPr>
                <w:rFonts w:hint="eastAsia" w:ascii="Times New Roman" w:hAnsi="Times New Roman" w:cs="宋体"/>
                <w:color w:val="000000"/>
                <w:sz w:val="24"/>
                <w:szCs w:val="24"/>
              </w:rPr>
              <w:t>城乡社区服务站建设面积达到国家标准。城乡社区便民服务站标识规范统一。</w:t>
            </w:r>
          </w:p>
        </w:tc>
        <w:tc>
          <w:tcPr>
            <w:tcW w:w="1184" w:type="dxa"/>
            <w:vAlign w:val="center"/>
          </w:tcPr>
          <w:p>
            <w:pPr>
              <w:spacing w:line="580" w:lineRule="exact"/>
              <w:jc w:val="center"/>
              <w:rPr>
                <w:rFonts w:ascii="Times New Roman" w:hAnsi="Times New Roman" w:cs="Times New Roman"/>
                <w:color w:val="000000"/>
                <w:sz w:val="32"/>
                <w:szCs w:val="32"/>
              </w:rPr>
            </w:pPr>
            <w:r>
              <w:rPr>
                <w:rFonts w:ascii="Times New Roman" w:hAnsi="Times New Roman" w:cs="Times New Roman"/>
                <w:color w:val="000000"/>
                <w:sz w:val="32"/>
                <w:szCs w:val="32"/>
              </w:rPr>
              <w:t>3</w:t>
            </w:r>
            <w:r>
              <w:rPr>
                <w:rFonts w:hint="eastAsia" w:ascii="Times New Roman" w:hAnsi="Times New Roman" w:cs="宋体"/>
                <w:color w:val="000000"/>
                <w:sz w:val="32"/>
                <w:szCs w:val="32"/>
              </w:rPr>
              <w:t>分</w:t>
            </w:r>
          </w:p>
        </w:tc>
      </w:tr>
    </w:tbl>
    <w:p>
      <w:pPr>
        <w:spacing w:line="580" w:lineRule="exact"/>
        <w:ind w:firstLine="640" w:firstLineChars="200"/>
        <w:rPr>
          <w:rFonts w:ascii="Times New Roman" w:hAnsi="Times New Roman" w:eastAsia="仿宋" w:cs="Times New Roman"/>
          <w:color w:val="000000"/>
          <w:kern w:val="0"/>
          <w:sz w:val="32"/>
          <w:szCs w:val="32"/>
        </w:rPr>
      </w:pPr>
      <w:r>
        <w:rPr>
          <w:rFonts w:hint="eastAsia" w:ascii="Times New Roman" w:hAnsi="Times New Roman" w:eastAsia="仿宋" w:cs="仿宋"/>
          <w:color w:val="000000"/>
          <w:kern w:val="0"/>
          <w:sz w:val="32"/>
          <w:szCs w:val="32"/>
        </w:rPr>
        <w:t>本项指标从城乡社区建设面积、标识两个方面进行评估。目标值的确定依据主要是《中共中央国务院关于加强和完善城乡社区治理的意见》、《民政事业发展第十三个五年规划》、《湖南省</w:t>
      </w:r>
      <w:r>
        <w:rPr>
          <w:rFonts w:ascii="Times New Roman" w:hAnsi="Times New Roman" w:eastAsia="仿宋" w:cs="Times New Roman"/>
          <w:color w:val="000000"/>
          <w:kern w:val="0"/>
          <w:sz w:val="32"/>
          <w:szCs w:val="32"/>
        </w:rPr>
        <w:t>“</w:t>
      </w:r>
      <w:r>
        <w:rPr>
          <w:rFonts w:hint="eastAsia" w:ascii="Times New Roman" w:hAnsi="Times New Roman" w:eastAsia="仿宋" w:cs="仿宋"/>
          <w:color w:val="000000"/>
          <w:kern w:val="0"/>
          <w:sz w:val="32"/>
          <w:szCs w:val="32"/>
        </w:rPr>
        <w:t>十三五</w:t>
      </w:r>
      <w:r>
        <w:rPr>
          <w:rFonts w:ascii="Times New Roman" w:hAnsi="Times New Roman" w:eastAsia="仿宋" w:cs="Times New Roman"/>
          <w:color w:val="000000"/>
          <w:kern w:val="0"/>
          <w:sz w:val="32"/>
          <w:szCs w:val="32"/>
        </w:rPr>
        <w:t>”</w:t>
      </w:r>
      <w:r>
        <w:rPr>
          <w:rFonts w:hint="eastAsia" w:ascii="Times New Roman" w:hAnsi="Times New Roman" w:eastAsia="仿宋" w:cs="仿宋"/>
          <w:color w:val="000000"/>
          <w:kern w:val="0"/>
          <w:sz w:val="32"/>
          <w:szCs w:val="32"/>
        </w:rPr>
        <w:t>民政事业发展规划》。</w:t>
      </w:r>
      <w:r>
        <w:rPr>
          <w:rFonts w:ascii="Times New Roman" w:hAnsi="Times New Roman" w:eastAsia="仿宋" w:cs="Times New Roman"/>
          <w:color w:val="000000"/>
          <w:kern w:val="0"/>
          <w:sz w:val="32"/>
          <w:szCs w:val="32"/>
        </w:rPr>
        <w:t>“</w:t>
      </w:r>
      <w:r>
        <w:rPr>
          <w:rFonts w:hint="eastAsia" w:ascii="Times New Roman" w:hAnsi="Times New Roman" w:eastAsia="仿宋" w:cs="仿宋"/>
          <w:color w:val="000000"/>
          <w:kern w:val="0"/>
          <w:sz w:val="32"/>
          <w:szCs w:val="32"/>
        </w:rPr>
        <w:t>城乡社区服务站建设面积符合国家强制性标准要求</w:t>
      </w:r>
      <w:r>
        <w:rPr>
          <w:rFonts w:ascii="Times New Roman" w:hAnsi="Times New Roman" w:eastAsia="仿宋" w:cs="Times New Roman"/>
          <w:color w:val="000000"/>
          <w:kern w:val="0"/>
          <w:sz w:val="32"/>
          <w:szCs w:val="32"/>
        </w:rPr>
        <w:t>”</w:t>
      </w:r>
      <w:r>
        <w:rPr>
          <w:rFonts w:hint="eastAsia" w:ascii="Times New Roman" w:hAnsi="Times New Roman" w:eastAsia="仿宋" w:cs="仿宋"/>
          <w:color w:val="000000"/>
          <w:kern w:val="0"/>
          <w:sz w:val="32"/>
          <w:szCs w:val="32"/>
        </w:rPr>
        <w:t>占</w:t>
      </w:r>
      <w:r>
        <w:rPr>
          <w:rFonts w:ascii="Times New Roman" w:hAnsi="Times New Roman" w:eastAsia="仿宋" w:cs="Times New Roman"/>
          <w:color w:val="000000"/>
          <w:kern w:val="0"/>
          <w:sz w:val="32"/>
          <w:szCs w:val="32"/>
        </w:rPr>
        <w:t>1.5</w:t>
      </w:r>
      <w:r>
        <w:rPr>
          <w:rFonts w:hint="eastAsia" w:ascii="Times New Roman" w:hAnsi="Times New Roman" w:eastAsia="仿宋" w:cs="仿宋"/>
          <w:color w:val="000000"/>
          <w:kern w:val="0"/>
          <w:sz w:val="32"/>
          <w:szCs w:val="32"/>
        </w:rPr>
        <w:t>分，评估方式是查阅城市社区服务站的统计资料并现场抽查，具体标准为：每百户居民拥有综合服务设施面积不低于</w:t>
      </w:r>
      <w:r>
        <w:rPr>
          <w:rFonts w:ascii="Times New Roman" w:hAnsi="Times New Roman" w:eastAsia="仿宋" w:cs="Times New Roman"/>
          <w:color w:val="000000"/>
          <w:kern w:val="0"/>
          <w:sz w:val="32"/>
          <w:szCs w:val="32"/>
        </w:rPr>
        <w:t>30 m</w:t>
      </w:r>
      <w:r>
        <w:rPr>
          <w:rFonts w:ascii="Times New Roman" w:hAnsi="Times New Roman" w:cs="Times New Roman"/>
          <w:color w:val="000000"/>
          <w:kern w:val="0"/>
          <w:sz w:val="32"/>
          <w:szCs w:val="32"/>
        </w:rPr>
        <w:t>²</w:t>
      </w:r>
      <w:r>
        <w:rPr>
          <w:rFonts w:hint="eastAsia" w:ascii="Times New Roman" w:hAnsi="Times New Roman" w:eastAsia="仿宋" w:cs="仿宋"/>
          <w:color w:val="000000"/>
          <w:kern w:val="0"/>
          <w:sz w:val="32"/>
          <w:szCs w:val="32"/>
        </w:rPr>
        <w:t>，有</w:t>
      </w:r>
      <w:r>
        <w:rPr>
          <w:rFonts w:ascii="Times New Roman" w:hAnsi="Times New Roman" w:eastAsia="仿宋" w:cs="Times New Roman"/>
          <w:color w:val="000000"/>
          <w:kern w:val="0"/>
          <w:sz w:val="32"/>
          <w:szCs w:val="32"/>
        </w:rPr>
        <w:t>1</w:t>
      </w:r>
      <w:r>
        <w:rPr>
          <w:rFonts w:hint="eastAsia" w:ascii="Times New Roman" w:hAnsi="Times New Roman" w:eastAsia="仿宋" w:cs="仿宋"/>
          <w:color w:val="000000"/>
          <w:kern w:val="0"/>
          <w:sz w:val="32"/>
          <w:szCs w:val="32"/>
        </w:rPr>
        <w:t>起未达标扣</w:t>
      </w:r>
      <w:r>
        <w:rPr>
          <w:rFonts w:ascii="Times New Roman" w:hAnsi="Times New Roman" w:eastAsia="仿宋" w:cs="Times New Roman"/>
          <w:color w:val="000000"/>
          <w:kern w:val="0"/>
          <w:sz w:val="32"/>
          <w:szCs w:val="32"/>
        </w:rPr>
        <w:t>0.3</w:t>
      </w:r>
      <w:r>
        <w:rPr>
          <w:rFonts w:hint="eastAsia" w:ascii="Times New Roman" w:hAnsi="Times New Roman" w:eastAsia="仿宋" w:cs="仿宋"/>
          <w:color w:val="000000"/>
          <w:kern w:val="0"/>
          <w:sz w:val="32"/>
          <w:szCs w:val="32"/>
        </w:rPr>
        <w:t>分，扣完</w:t>
      </w:r>
      <w:r>
        <w:rPr>
          <w:rFonts w:ascii="Times New Roman" w:hAnsi="Times New Roman" w:eastAsia="仿宋" w:cs="Times New Roman"/>
          <w:color w:val="000000"/>
          <w:kern w:val="0"/>
          <w:sz w:val="32"/>
          <w:szCs w:val="32"/>
        </w:rPr>
        <w:t>1.5</w:t>
      </w:r>
      <w:r>
        <w:rPr>
          <w:rFonts w:hint="eastAsia" w:ascii="Times New Roman" w:hAnsi="Times New Roman" w:eastAsia="仿宋" w:cs="仿宋"/>
          <w:color w:val="000000"/>
          <w:kern w:val="0"/>
          <w:sz w:val="32"/>
          <w:szCs w:val="32"/>
        </w:rPr>
        <w:t>分为止。</w:t>
      </w:r>
      <w:r>
        <w:rPr>
          <w:rFonts w:ascii="Times New Roman" w:hAnsi="Times New Roman" w:eastAsia="仿宋" w:cs="Times New Roman"/>
          <w:color w:val="000000"/>
          <w:kern w:val="0"/>
          <w:sz w:val="32"/>
          <w:szCs w:val="32"/>
        </w:rPr>
        <w:t>“</w:t>
      </w:r>
      <w:r>
        <w:rPr>
          <w:rFonts w:hint="eastAsia" w:ascii="Times New Roman" w:hAnsi="Times New Roman" w:eastAsia="仿宋" w:cs="仿宋"/>
          <w:color w:val="000000"/>
          <w:kern w:val="0"/>
          <w:sz w:val="32"/>
          <w:szCs w:val="32"/>
        </w:rPr>
        <w:t>城乡社区便民服务站标识规范统一</w:t>
      </w:r>
      <w:r>
        <w:rPr>
          <w:rFonts w:ascii="Times New Roman" w:hAnsi="Times New Roman" w:eastAsia="仿宋" w:cs="Times New Roman"/>
          <w:color w:val="000000"/>
          <w:kern w:val="0"/>
          <w:sz w:val="32"/>
          <w:szCs w:val="32"/>
        </w:rPr>
        <w:t>”</w:t>
      </w:r>
      <w:r>
        <w:rPr>
          <w:rFonts w:hint="eastAsia" w:ascii="Times New Roman" w:hAnsi="Times New Roman" w:eastAsia="仿宋" w:cs="仿宋"/>
          <w:color w:val="000000"/>
          <w:kern w:val="0"/>
          <w:sz w:val="32"/>
          <w:szCs w:val="32"/>
        </w:rPr>
        <w:t>占</w:t>
      </w:r>
      <w:r>
        <w:rPr>
          <w:rFonts w:ascii="Times New Roman" w:hAnsi="Times New Roman" w:eastAsia="仿宋" w:cs="Times New Roman"/>
          <w:color w:val="000000"/>
          <w:kern w:val="0"/>
          <w:sz w:val="32"/>
          <w:szCs w:val="32"/>
        </w:rPr>
        <w:t>1.5</w:t>
      </w:r>
      <w:r>
        <w:rPr>
          <w:rFonts w:hint="eastAsia" w:ascii="Times New Roman" w:hAnsi="Times New Roman" w:eastAsia="仿宋" w:cs="仿宋"/>
          <w:color w:val="000000"/>
          <w:kern w:val="0"/>
          <w:sz w:val="32"/>
          <w:szCs w:val="32"/>
        </w:rPr>
        <w:t>分，指村（社区）党组织、村（居）民委员会、社区服务（工作）站（中心）等</w:t>
      </w:r>
      <w:r>
        <w:rPr>
          <w:rFonts w:ascii="Times New Roman" w:hAnsi="Times New Roman" w:eastAsia="仿宋" w:cs="Times New Roman"/>
          <w:color w:val="000000"/>
          <w:kern w:val="0"/>
          <w:sz w:val="32"/>
          <w:szCs w:val="32"/>
        </w:rPr>
        <w:t>3</w:t>
      </w:r>
      <w:r>
        <w:rPr>
          <w:rFonts w:hint="eastAsia" w:ascii="Times New Roman" w:hAnsi="Times New Roman" w:eastAsia="仿宋" w:cs="仿宋"/>
          <w:color w:val="000000"/>
          <w:kern w:val="0"/>
          <w:sz w:val="32"/>
          <w:szCs w:val="32"/>
        </w:rPr>
        <w:t>个组织机构对外挂牌，各功能室在站、室门口挂服务标识牌，其他各类组织和服务平台要将功能融合进便民服务大厅和有关站、室，一律不对外单独挂牌，发现违规</w:t>
      </w:r>
      <w:r>
        <w:rPr>
          <w:rFonts w:ascii="Times New Roman" w:hAnsi="Times New Roman" w:eastAsia="仿宋" w:cs="Times New Roman"/>
          <w:color w:val="000000"/>
          <w:kern w:val="0"/>
          <w:sz w:val="32"/>
          <w:szCs w:val="32"/>
        </w:rPr>
        <w:t>1</w:t>
      </w:r>
      <w:r>
        <w:rPr>
          <w:rFonts w:hint="eastAsia" w:ascii="Times New Roman" w:hAnsi="Times New Roman" w:eastAsia="仿宋" w:cs="仿宋"/>
          <w:color w:val="000000"/>
          <w:kern w:val="0"/>
          <w:sz w:val="32"/>
          <w:szCs w:val="32"/>
        </w:rPr>
        <w:t>起扣</w:t>
      </w:r>
      <w:r>
        <w:rPr>
          <w:rFonts w:ascii="Times New Roman" w:hAnsi="Times New Roman" w:eastAsia="仿宋" w:cs="Times New Roman"/>
          <w:color w:val="000000"/>
          <w:kern w:val="0"/>
          <w:sz w:val="32"/>
          <w:szCs w:val="32"/>
        </w:rPr>
        <w:t>0.3</w:t>
      </w:r>
      <w:r>
        <w:rPr>
          <w:rFonts w:hint="eastAsia" w:ascii="Times New Roman" w:hAnsi="Times New Roman" w:eastAsia="仿宋" w:cs="仿宋"/>
          <w:color w:val="000000"/>
          <w:kern w:val="0"/>
          <w:sz w:val="32"/>
          <w:szCs w:val="32"/>
        </w:rPr>
        <w:t>分，扣完</w:t>
      </w:r>
      <w:r>
        <w:rPr>
          <w:rFonts w:ascii="Times New Roman" w:hAnsi="Times New Roman" w:eastAsia="仿宋" w:cs="Times New Roman"/>
          <w:color w:val="000000"/>
          <w:kern w:val="0"/>
          <w:sz w:val="32"/>
          <w:szCs w:val="32"/>
        </w:rPr>
        <w:t>1.5</w:t>
      </w:r>
      <w:r>
        <w:rPr>
          <w:rFonts w:hint="eastAsia" w:ascii="Times New Roman" w:hAnsi="Times New Roman" w:eastAsia="仿宋" w:cs="仿宋"/>
          <w:color w:val="000000"/>
          <w:kern w:val="0"/>
          <w:sz w:val="32"/>
          <w:szCs w:val="32"/>
        </w:rPr>
        <w:t>分为止。</w:t>
      </w:r>
    </w:p>
    <w:p>
      <w:pPr>
        <w:spacing w:line="580" w:lineRule="exact"/>
        <w:ind w:firstLine="643" w:firstLineChars="200"/>
        <w:rPr>
          <w:rFonts w:ascii="楷体_GB2312" w:hAnsi="Times New Roman" w:eastAsia="楷体_GB2312" w:cs="Times New Roman"/>
          <w:b/>
          <w:bCs/>
          <w:color w:val="000000"/>
          <w:sz w:val="32"/>
          <w:szCs w:val="32"/>
        </w:rPr>
      </w:pPr>
      <w:r>
        <w:rPr>
          <w:rFonts w:hint="eastAsia" w:ascii="楷体_GB2312" w:hAnsi="Times New Roman" w:eastAsia="楷体_GB2312" w:cs="楷体_GB2312"/>
          <w:b/>
          <w:bCs/>
          <w:color w:val="000000"/>
          <w:sz w:val="32"/>
          <w:szCs w:val="32"/>
        </w:rPr>
        <w:t>（四）信息化</w:t>
      </w:r>
    </w:p>
    <w:tbl>
      <w:tblPr>
        <w:tblStyle w:val="7"/>
        <w:tblW w:w="891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67"/>
        <w:gridCol w:w="6530"/>
        <w:gridCol w:w="8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567" w:type="dxa"/>
            <w:vAlign w:val="center"/>
          </w:tcPr>
          <w:p>
            <w:pPr>
              <w:spacing w:line="400" w:lineRule="exact"/>
              <w:jc w:val="center"/>
              <w:rPr>
                <w:rFonts w:ascii="Times New Roman" w:hAnsi="Times New Roman" w:cs="Times New Roman"/>
                <w:color w:val="000000"/>
                <w:sz w:val="24"/>
                <w:szCs w:val="24"/>
              </w:rPr>
            </w:pPr>
            <w:r>
              <w:rPr>
                <w:rFonts w:hint="eastAsia" w:ascii="Times New Roman" w:hAnsi="Times New Roman" w:cs="宋体"/>
                <w:color w:val="000000"/>
                <w:sz w:val="24"/>
                <w:szCs w:val="24"/>
              </w:rPr>
              <w:t>（二十）</w:t>
            </w:r>
          </w:p>
        </w:tc>
        <w:tc>
          <w:tcPr>
            <w:tcW w:w="6530" w:type="dxa"/>
            <w:vAlign w:val="center"/>
          </w:tcPr>
          <w:p>
            <w:pPr>
              <w:spacing w:line="400" w:lineRule="exact"/>
              <w:rPr>
                <w:rFonts w:ascii="Times New Roman" w:hAnsi="Times New Roman" w:cs="Times New Roman"/>
                <w:color w:val="000000"/>
                <w:sz w:val="24"/>
                <w:szCs w:val="24"/>
              </w:rPr>
            </w:pPr>
            <w:r>
              <w:rPr>
                <w:rFonts w:hint="eastAsia" w:ascii="Times New Roman" w:hAnsi="Times New Roman" w:cs="宋体"/>
                <w:color w:val="000000"/>
                <w:sz w:val="24"/>
                <w:szCs w:val="24"/>
              </w:rPr>
              <w:t>按照建设民政四级广域网的要求，以政务外网为载体向所有乡镇民政办（所）延伸；民政四级广域网延伸至婚登中心、殡仪馆、救助站、福利院等直属事业单位。</w:t>
            </w:r>
          </w:p>
        </w:tc>
        <w:tc>
          <w:tcPr>
            <w:tcW w:w="814" w:type="dxa"/>
            <w:vAlign w:val="center"/>
          </w:tcPr>
          <w:p>
            <w:pPr>
              <w:spacing w:line="400" w:lineRule="exact"/>
              <w:jc w:val="center"/>
              <w:rPr>
                <w:rFonts w:ascii="Times New Roman" w:hAnsi="Times New Roman" w:cs="Times New Roman"/>
                <w:color w:val="000000"/>
                <w:sz w:val="24"/>
                <w:szCs w:val="24"/>
              </w:rPr>
            </w:pPr>
            <w:r>
              <w:rPr>
                <w:rFonts w:ascii="Times New Roman" w:hAnsi="Times New Roman" w:cs="Times New Roman"/>
                <w:color w:val="000000"/>
                <w:sz w:val="24"/>
                <w:szCs w:val="24"/>
              </w:rPr>
              <w:t>4</w:t>
            </w:r>
            <w:r>
              <w:rPr>
                <w:rFonts w:hint="eastAsia" w:ascii="Times New Roman" w:hAnsi="Times New Roman" w:cs="宋体"/>
                <w:color w:val="000000"/>
                <w:sz w:val="24"/>
                <w:szCs w:val="24"/>
              </w:rPr>
              <w:t>分</w:t>
            </w:r>
          </w:p>
        </w:tc>
      </w:tr>
    </w:tbl>
    <w:p>
      <w:pPr>
        <w:spacing w:line="580" w:lineRule="exact"/>
        <w:ind w:firstLine="640" w:firstLineChars="200"/>
        <w:jc w:val="left"/>
        <w:rPr>
          <w:rFonts w:ascii="Times New Roman" w:hAnsi="Times New Roman" w:eastAsia="仿宋" w:cs="Times New Roman"/>
          <w:color w:val="000000"/>
          <w:sz w:val="32"/>
          <w:szCs w:val="32"/>
        </w:rPr>
      </w:pPr>
      <w:r>
        <w:rPr>
          <w:rFonts w:hint="eastAsia" w:ascii="Times New Roman" w:hAnsi="Times New Roman" w:eastAsia="仿宋" w:cs="仿宋"/>
          <w:color w:val="000000"/>
          <w:sz w:val="32"/>
          <w:szCs w:val="32"/>
        </w:rPr>
        <w:t>本项指标从民政四级广域网是否延伸至乡镇和所属事业单位两个方面进行评估。目标值的主要依据是《湖南省电子政务</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十三五</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规划（</w:t>
      </w:r>
      <w:r>
        <w:rPr>
          <w:rFonts w:ascii="Times New Roman" w:hAnsi="Times New Roman" w:eastAsia="仿宋" w:cs="Times New Roman"/>
          <w:color w:val="000000"/>
          <w:sz w:val="32"/>
          <w:szCs w:val="32"/>
        </w:rPr>
        <w:t>2016-2020</w:t>
      </w:r>
      <w:r>
        <w:rPr>
          <w:rFonts w:hint="eastAsia" w:ascii="Times New Roman" w:hAnsi="Times New Roman" w:eastAsia="仿宋" w:cs="仿宋"/>
          <w:color w:val="000000"/>
          <w:sz w:val="32"/>
          <w:szCs w:val="32"/>
        </w:rPr>
        <w:t>年）》、《关于建设全省民政电子政务外网（民政四级广域网）的通知》和《湖南省</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十三五</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民政信息化发展规划》。</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按照建设民政四级广域网的要求，以政务外网为载体向乡镇民政办（所）延伸</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占</w:t>
      </w:r>
      <w:r>
        <w:rPr>
          <w:rFonts w:ascii="Times New Roman" w:hAnsi="Times New Roman" w:eastAsia="仿宋" w:cs="Times New Roman"/>
          <w:color w:val="000000"/>
          <w:sz w:val="32"/>
          <w:szCs w:val="32"/>
        </w:rPr>
        <w:t>2</w:t>
      </w:r>
      <w:r>
        <w:rPr>
          <w:rFonts w:hint="eastAsia" w:ascii="Times New Roman" w:hAnsi="Times New Roman" w:eastAsia="仿宋" w:cs="仿宋"/>
          <w:color w:val="000000"/>
          <w:sz w:val="32"/>
          <w:szCs w:val="32"/>
        </w:rPr>
        <w:t>分，指标评估根据省厅统一规划构建省、市、县、乡四级民政广域网的要求分项计算，民政四级广域网要求延伸到乡镇（街道）民政办（所），每少一个乡镇（街道）扣</w:t>
      </w:r>
      <w:r>
        <w:rPr>
          <w:rFonts w:ascii="Times New Roman" w:hAnsi="Times New Roman" w:eastAsia="仿宋" w:cs="Times New Roman"/>
          <w:color w:val="000000"/>
          <w:sz w:val="32"/>
          <w:szCs w:val="32"/>
        </w:rPr>
        <w:t>0.5</w:t>
      </w:r>
      <w:r>
        <w:rPr>
          <w:rFonts w:hint="eastAsia" w:ascii="Times New Roman" w:hAnsi="Times New Roman" w:eastAsia="仿宋" w:cs="仿宋"/>
          <w:color w:val="000000"/>
          <w:sz w:val="32"/>
          <w:szCs w:val="32"/>
        </w:rPr>
        <w:t>分，扣完</w:t>
      </w:r>
      <w:r>
        <w:rPr>
          <w:rFonts w:ascii="Times New Roman" w:hAnsi="Times New Roman" w:eastAsia="仿宋" w:cs="Times New Roman"/>
          <w:color w:val="000000"/>
          <w:sz w:val="32"/>
          <w:szCs w:val="32"/>
        </w:rPr>
        <w:t>2</w:t>
      </w:r>
      <w:r>
        <w:rPr>
          <w:rFonts w:hint="eastAsia" w:ascii="Times New Roman" w:hAnsi="Times New Roman" w:eastAsia="仿宋" w:cs="仿宋"/>
          <w:color w:val="000000"/>
          <w:sz w:val="32"/>
          <w:szCs w:val="32"/>
        </w:rPr>
        <w:t>分为止。</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民政四级广域网延伸至婚登中心、殡仪馆、救助站、福利院等直属事业单位</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占</w:t>
      </w:r>
      <w:r>
        <w:rPr>
          <w:rFonts w:ascii="Times New Roman" w:hAnsi="Times New Roman" w:eastAsia="仿宋" w:cs="Times New Roman"/>
          <w:color w:val="000000"/>
          <w:sz w:val="32"/>
          <w:szCs w:val="32"/>
        </w:rPr>
        <w:t>2</w:t>
      </w:r>
      <w:r>
        <w:rPr>
          <w:rFonts w:hint="eastAsia" w:ascii="Times New Roman" w:hAnsi="Times New Roman" w:eastAsia="仿宋" w:cs="仿宋"/>
          <w:color w:val="000000"/>
          <w:sz w:val="32"/>
          <w:szCs w:val="32"/>
        </w:rPr>
        <w:t>分，未延伸至相关直属事业单位的，每个扣</w:t>
      </w:r>
      <w:r>
        <w:rPr>
          <w:rFonts w:ascii="Times New Roman" w:hAnsi="Times New Roman" w:eastAsia="仿宋" w:cs="Times New Roman"/>
          <w:color w:val="000000"/>
          <w:sz w:val="32"/>
          <w:szCs w:val="32"/>
        </w:rPr>
        <w:t>0.5</w:t>
      </w:r>
      <w:r>
        <w:rPr>
          <w:rFonts w:hint="eastAsia" w:ascii="Times New Roman" w:hAnsi="Times New Roman" w:eastAsia="仿宋" w:cs="仿宋"/>
          <w:color w:val="000000"/>
          <w:sz w:val="32"/>
          <w:szCs w:val="32"/>
        </w:rPr>
        <w:t>分，扣完</w:t>
      </w:r>
      <w:r>
        <w:rPr>
          <w:rFonts w:ascii="Times New Roman" w:hAnsi="Times New Roman" w:eastAsia="仿宋" w:cs="Times New Roman"/>
          <w:color w:val="000000"/>
          <w:sz w:val="32"/>
          <w:szCs w:val="32"/>
        </w:rPr>
        <w:t>2</w:t>
      </w:r>
      <w:r>
        <w:rPr>
          <w:rFonts w:hint="eastAsia" w:ascii="Times New Roman" w:hAnsi="Times New Roman" w:eastAsia="仿宋" w:cs="仿宋"/>
          <w:color w:val="000000"/>
          <w:sz w:val="32"/>
          <w:szCs w:val="32"/>
        </w:rPr>
        <w:t>分为止。</w:t>
      </w:r>
    </w:p>
    <w:tbl>
      <w:tblPr>
        <w:tblStyle w:val="7"/>
        <w:tblW w:w="882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8"/>
        <w:gridCol w:w="6481"/>
        <w:gridCol w:w="10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318" w:type="dxa"/>
            <w:vAlign w:val="center"/>
          </w:tcPr>
          <w:p>
            <w:pPr>
              <w:spacing w:line="400" w:lineRule="exact"/>
              <w:jc w:val="center"/>
              <w:rPr>
                <w:rFonts w:ascii="Times New Roman" w:hAnsi="Times New Roman" w:cs="Times New Roman"/>
                <w:color w:val="000000"/>
                <w:sz w:val="24"/>
                <w:szCs w:val="24"/>
              </w:rPr>
            </w:pPr>
            <w:r>
              <w:rPr>
                <w:rFonts w:hint="eastAsia" w:ascii="Times New Roman" w:hAnsi="Times New Roman" w:cs="宋体"/>
                <w:color w:val="000000"/>
                <w:sz w:val="24"/>
                <w:szCs w:val="24"/>
              </w:rPr>
              <w:t>（二十一）</w:t>
            </w:r>
          </w:p>
        </w:tc>
        <w:tc>
          <w:tcPr>
            <w:tcW w:w="6481" w:type="dxa"/>
            <w:vAlign w:val="center"/>
          </w:tcPr>
          <w:p>
            <w:pPr>
              <w:spacing w:line="400" w:lineRule="exact"/>
              <w:rPr>
                <w:rFonts w:ascii="Times New Roman" w:hAnsi="Times New Roman" w:cs="Times New Roman"/>
                <w:color w:val="000000"/>
                <w:sz w:val="24"/>
                <w:szCs w:val="24"/>
              </w:rPr>
            </w:pPr>
            <w:r>
              <w:rPr>
                <w:rFonts w:hint="eastAsia" w:ascii="Times New Roman" w:hAnsi="Times New Roman" w:cs="宋体"/>
                <w:color w:val="000000"/>
                <w:sz w:val="24"/>
                <w:szCs w:val="24"/>
              </w:rPr>
              <w:t>应用居民家庭经济状况核对平台对新申请救助对象进行信息化核对的比例达到</w:t>
            </w:r>
            <w:r>
              <w:rPr>
                <w:rFonts w:ascii="Times New Roman" w:hAnsi="Times New Roman" w:cs="Times New Roman"/>
                <w:color w:val="000000"/>
                <w:sz w:val="24"/>
                <w:szCs w:val="24"/>
              </w:rPr>
              <w:t>100%</w:t>
            </w:r>
            <w:r>
              <w:rPr>
                <w:rFonts w:hint="eastAsia" w:ascii="Times New Roman" w:hAnsi="Times New Roman" w:cs="宋体"/>
                <w:color w:val="000000"/>
                <w:sz w:val="24"/>
                <w:szCs w:val="24"/>
              </w:rPr>
              <w:t>；对已享受社会救助对象进行信息化复核的比例达到</w:t>
            </w:r>
            <w:r>
              <w:rPr>
                <w:rFonts w:ascii="Times New Roman" w:hAnsi="Times New Roman" w:cs="Times New Roman"/>
                <w:color w:val="000000"/>
                <w:sz w:val="24"/>
                <w:szCs w:val="24"/>
              </w:rPr>
              <w:t>100%</w:t>
            </w:r>
            <w:r>
              <w:rPr>
                <w:rFonts w:hint="eastAsia" w:ascii="Times New Roman" w:hAnsi="Times New Roman" w:cs="宋体"/>
                <w:color w:val="000000"/>
                <w:sz w:val="24"/>
                <w:szCs w:val="24"/>
              </w:rPr>
              <w:t>。最低生活保障对象、特困人员、临时救助对象基本情况全部录入省社会救助信息管理系统并及时动态管理，确保数据及时、准确。</w:t>
            </w:r>
          </w:p>
        </w:tc>
        <w:tc>
          <w:tcPr>
            <w:tcW w:w="1022" w:type="dxa"/>
            <w:vAlign w:val="center"/>
          </w:tcPr>
          <w:p>
            <w:pPr>
              <w:spacing w:line="400" w:lineRule="exact"/>
              <w:jc w:val="center"/>
              <w:rPr>
                <w:rFonts w:ascii="Times New Roman" w:hAnsi="Times New Roman" w:cs="Times New Roman"/>
                <w:color w:val="000000"/>
                <w:sz w:val="24"/>
                <w:szCs w:val="24"/>
              </w:rPr>
            </w:pPr>
            <w:r>
              <w:rPr>
                <w:rFonts w:ascii="Times New Roman" w:hAnsi="Times New Roman" w:cs="Times New Roman"/>
                <w:color w:val="000000"/>
                <w:sz w:val="24"/>
                <w:szCs w:val="24"/>
              </w:rPr>
              <w:t>4</w:t>
            </w:r>
            <w:r>
              <w:rPr>
                <w:rFonts w:hint="eastAsia" w:ascii="Times New Roman" w:hAnsi="Times New Roman" w:cs="宋体"/>
                <w:color w:val="000000"/>
                <w:sz w:val="24"/>
                <w:szCs w:val="24"/>
              </w:rPr>
              <w:t>分</w:t>
            </w:r>
          </w:p>
        </w:tc>
      </w:tr>
    </w:tbl>
    <w:p>
      <w:pPr>
        <w:spacing w:line="580" w:lineRule="exact"/>
        <w:ind w:firstLine="640" w:firstLineChars="200"/>
        <w:rPr>
          <w:rFonts w:ascii="Times New Roman" w:hAnsi="Times New Roman" w:eastAsia="仿宋" w:cs="Times New Roman"/>
          <w:color w:val="000000"/>
          <w:sz w:val="32"/>
          <w:szCs w:val="32"/>
        </w:rPr>
      </w:pPr>
      <w:r>
        <w:rPr>
          <w:rFonts w:hint="eastAsia" w:ascii="Times New Roman" w:hAnsi="Times New Roman" w:eastAsia="仿宋" w:cs="仿宋"/>
          <w:color w:val="000000"/>
          <w:sz w:val="32"/>
          <w:szCs w:val="32"/>
        </w:rPr>
        <w:t>本项指标主要从信息比对、业务系统推广等方面进行评估。目标值的主要依据是《社会救助暂行办法》、《湖南省民政事业第十三个五年规划》、《湖南省</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十三五</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民政信息化发展规划》。指标评估以项目为基础分类计算。其中</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应用居民家庭经济状况核对平台对新申请救助对象进行信息化核对的比例达到</w:t>
      </w:r>
      <w:r>
        <w:rPr>
          <w:rFonts w:ascii="Times New Roman" w:hAnsi="Times New Roman" w:eastAsia="仿宋" w:cs="Times New Roman"/>
          <w:color w:val="000000"/>
          <w:sz w:val="32"/>
          <w:szCs w:val="32"/>
        </w:rPr>
        <w:t>100%”</w:t>
      </w:r>
      <w:r>
        <w:rPr>
          <w:rFonts w:hint="eastAsia" w:ascii="Times New Roman" w:hAnsi="Times New Roman" w:eastAsia="仿宋" w:cs="仿宋"/>
          <w:color w:val="000000"/>
          <w:sz w:val="32"/>
          <w:szCs w:val="32"/>
        </w:rPr>
        <w:t>占</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分，未达到规定比例扣</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对已享受社会救助对象进行信息化复核的比例达到</w:t>
      </w:r>
      <w:r>
        <w:rPr>
          <w:rFonts w:ascii="Times New Roman" w:hAnsi="Times New Roman" w:eastAsia="仿宋" w:cs="Times New Roman"/>
          <w:color w:val="000000"/>
          <w:sz w:val="32"/>
          <w:szCs w:val="32"/>
        </w:rPr>
        <w:t>100%”</w:t>
      </w:r>
      <w:r>
        <w:rPr>
          <w:rFonts w:hint="eastAsia" w:ascii="Times New Roman" w:hAnsi="Times New Roman" w:eastAsia="仿宋" w:cs="仿宋"/>
          <w:color w:val="000000"/>
          <w:sz w:val="32"/>
          <w:szCs w:val="32"/>
        </w:rPr>
        <w:t>占</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分，未达到规定比例扣</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最低生活保障对象、特困人员、临时救助对象基本情况全部录入省社会救助信息管理系统并及时动态管理，确保数据及时、准确</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占</w:t>
      </w:r>
      <w:r>
        <w:rPr>
          <w:rFonts w:ascii="Times New Roman" w:hAnsi="Times New Roman" w:eastAsia="仿宋" w:cs="Times New Roman"/>
          <w:color w:val="000000"/>
          <w:sz w:val="32"/>
          <w:szCs w:val="32"/>
        </w:rPr>
        <w:t>2</w:t>
      </w:r>
      <w:r>
        <w:rPr>
          <w:rFonts w:hint="eastAsia" w:ascii="Times New Roman" w:hAnsi="Times New Roman" w:eastAsia="仿宋" w:cs="仿宋"/>
          <w:color w:val="000000"/>
          <w:sz w:val="32"/>
          <w:szCs w:val="32"/>
        </w:rPr>
        <w:t>分，评估方式是查询全省社会救助信息管理系统与规财台账系统中对应的人数、资金等数据，信息误差率超过</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扣</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分；系统数据信息不真实、不及时的，每次扣</w:t>
      </w:r>
      <w:r>
        <w:rPr>
          <w:rFonts w:ascii="Times New Roman" w:hAnsi="Times New Roman" w:eastAsia="仿宋" w:cs="Times New Roman"/>
          <w:color w:val="000000"/>
          <w:sz w:val="32"/>
          <w:szCs w:val="32"/>
        </w:rPr>
        <w:t>0.1</w:t>
      </w:r>
      <w:r>
        <w:rPr>
          <w:rFonts w:hint="eastAsia" w:ascii="Times New Roman" w:hAnsi="Times New Roman" w:eastAsia="仿宋" w:cs="仿宋"/>
          <w:color w:val="000000"/>
          <w:sz w:val="32"/>
          <w:szCs w:val="32"/>
        </w:rPr>
        <w:t>分，扣完</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分为止。</w:t>
      </w:r>
    </w:p>
    <w:tbl>
      <w:tblPr>
        <w:tblStyle w:val="7"/>
        <w:tblW w:w="8789"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1"/>
        <w:gridCol w:w="6272"/>
        <w:gridCol w:w="8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98" w:hRule="atLeast"/>
          <w:jc w:val="center"/>
        </w:trPr>
        <w:tc>
          <w:tcPr>
            <w:tcW w:w="1701" w:type="dxa"/>
            <w:vAlign w:val="center"/>
          </w:tcPr>
          <w:p>
            <w:pPr>
              <w:spacing w:line="400" w:lineRule="exact"/>
              <w:jc w:val="center"/>
              <w:rPr>
                <w:rFonts w:ascii="Times New Roman" w:hAnsi="Times New Roman" w:cs="Times New Roman"/>
                <w:color w:val="000000"/>
                <w:sz w:val="24"/>
                <w:szCs w:val="24"/>
              </w:rPr>
            </w:pPr>
            <w:r>
              <w:rPr>
                <w:rFonts w:hint="eastAsia" w:ascii="Times New Roman" w:hAnsi="Times New Roman" w:cs="宋体"/>
                <w:color w:val="000000"/>
                <w:sz w:val="24"/>
                <w:szCs w:val="24"/>
              </w:rPr>
              <w:t>（二十二）</w:t>
            </w:r>
          </w:p>
        </w:tc>
        <w:tc>
          <w:tcPr>
            <w:tcW w:w="6272" w:type="dxa"/>
            <w:vAlign w:val="center"/>
          </w:tcPr>
          <w:p>
            <w:pPr>
              <w:spacing w:line="400" w:lineRule="exact"/>
              <w:rPr>
                <w:rFonts w:ascii="Times New Roman" w:hAnsi="Times New Roman" w:cs="Times New Roman"/>
                <w:color w:val="000000"/>
                <w:sz w:val="24"/>
                <w:szCs w:val="24"/>
              </w:rPr>
            </w:pPr>
            <w:r>
              <w:rPr>
                <w:rFonts w:hint="eastAsia" w:ascii="Times New Roman" w:hAnsi="Times New Roman" w:cs="宋体"/>
                <w:color w:val="000000"/>
                <w:sz w:val="24"/>
                <w:szCs w:val="24"/>
              </w:rPr>
              <w:t>建设并运营</w:t>
            </w:r>
            <w:r>
              <w:rPr>
                <w:rFonts w:ascii="Times New Roman" w:hAnsi="Times New Roman" w:cs="Times New Roman"/>
                <w:color w:val="000000"/>
                <w:sz w:val="24"/>
                <w:szCs w:val="24"/>
              </w:rPr>
              <w:t>1</w:t>
            </w:r>
            <w:r>
              <w:rPr>
                <w:rFonts w:hint="eastAsia" w:ascii="Times New Roman" w:hAnsi="Times New Roman" w:cs="宋体"/>
                <w:color w:val="000000"/>
                <w:sz w:val="24"/>
                <w:szCs w:val="24"/>
              </w:rPr>
              <w:t>个以上养老服务信息平台，实现供需信息有效对接，为老年人提供迅速便捷服务。</w:t>
            </w:r>
          </w:p>
        </w:tc>
        <w:tc>
          <w:tcPr>
            <w:tcW w:w="816" w:type="dxa"/>
            <w:vAlign w:val="center"/>
          </w:tcPr>
          <w:p>
            <w:pPr>
              <w:spacing w:line="400" w:lineRule="exact"/>
              <w:jc w:val="center"/>
              <w:rPr>
                <w:rFonts w:ascii="Times New Roman" w:hAnsi="Times New Roman" w:cs="Times New Roman"/>
                <w:color w:val="000000"/>
                <w:sz w:val="24"/>
                <w:szCs w:val="24"/>
              </w:rPr>
            </w:pPr>
            <w:r>
              <w:rPr>
                <w:rFonts w:ascii="Times New Roman" w:hAnsi="Times New Roman" w:cs="Times New Roman"/>
                <w:color w:val="000000"/>
                <w:sz w:val="24"/>
                <w:szCs w:val="24"/>
              </w:rPr>
              <w:t>2</w:t>
            </w:r>
            <w:r>
              <w:rPr>
                <w:rFonts w:hint="eastAsia" w:ascii="Times New Roman" w:hAnsi="Times New Roman" w:cs="宋体"/>
                <w:color w:val="000000"/>
                <w:sz w:val="24"/>
                <w:szCs w:val="24"/>
              </w:rPr>
              <w:t>分</w:t>
            </w:r>
          </w:p>
        </w:tc>
      </w:tr>
    </w:tbl>
    <w:p>
      <w:pPr>
        <w:spacing w:line="580" w:lineRule="exact"/>
        <w:ind w:firstLine="640" w:firstLineChars="200"/>
        <w:rPr>
          <w:rFonts w:ascii="Times New Roman" w:hAnsi="Times New Roman" w:eastAsia="仿宋" w:cs="Times New Roman"/>
          <w:color w:val="000000"/>
          <w:sz w:val="32"/>
          <w:szCs w:val="32"/>
        </w:rPr>
      </w:pPr>
      <w:r>
        <w:rPr>
          <w:rFonts w:hint="eastAsia" w:ascii="Times New Roman" w:hAnsi="Times New Roman" w:eastAsia="仿宋" w:cs="仿宋"/>
          <w:color w:val="000000"/>
          <w:sz w:val="32"/>
          <w:szCs w:val="32"/>
        </w:rPr>
        <w:t>本项指标主要从信息比对、业务系统推广等方面进行评估。目标值的主要依据是《湖南省</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十三五</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民政信息化发展规划》《湖南省民政厅关于加强民政基础设施建设的指导意见》。评估方式为现场查看被评估县市区的养老服务信息平台建设情况。未建养老服务信息平台建设的，扣</w:t>
      </w:r>
      <w:r>
        <w:rPr>
          <w:rFonts w:ascii="Times New Roman" w:hAnsi="Times New Roman" w:eastAsia="仿宋" w:cs="Times New Roman"/>
          <w:color w:val="000000"/>
          <w:sz w:val="32"/>
          <w:szCs w:val="32"/>
        </w:rPr>
        <w:t>2</w:t>
      </w:r>
      <w:r>
        <w:rPr>
          <w:rFonts w:hint="eastAsia" w:ascii="Times New Roman" w:hAnsi="Times New Roman" w:eastAsia="仿宋" w:cs="仿宋"/>
          <w:color w:val="000000"/>
          <w:sz w:val="32"/>
          <w:szCs w:val="32"/>
        </w:rPr>
        <w:t>分。</w:t>
      </w:r>
    </w:p>
    <w:tbl>
      <w:tblPr>
        <w:tblStyle w:val="7"/>
        <w:tblW w:w="8786"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97"/>
        <w:gridCol w:w="6473"/>
        <w:gridCol w:w="8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15" w:hRule="atLeast"/>
          <w:jc w:val="center"/>
        </w:trPr>
        <w:tc>
          <w:tcPr>
            <w:tcW w:w="1497" w:type="dxa"/>
            <w:vAlign w:val="center"/>
          </w:tcPr>
          <w:p>
            <w:pPr>
              <w:spacing w:line="400" w:lineRule="exact"/>
              <w:jc w:val="center"/>
              <w:rPr>
                <w:rFonts w:ascii="Times New Roman" w:hAnsi="Times New Roman" w:cs="Times New Roman"/>
                <w:color w:val="000000"/>
                <w:sz w:val="24"/>
                <w:szCs w:val="24"/>
              </w:rPr>
            </w:pPr>
            <w:r>
              <w:rPr>
                <w:rFonts w:hint="eastAsia" w:ascii="Times New Roman" w:hAnsi="Times New Roman" w:cs="宋体"/>
                <w:color w:val="000000"/>
                <w:sz w:val="24"/>
                <w:szCs w:val="24"/>
              </w:rPr>
              <w:t>（二十三）</w:t>
            </w:r>
          </w:p>
        </w:tc>
        <w:tc>
          <w:tcPr>
            <w:tcW w:w="6473" w:type="dxa"/>
            <w:vAlign w:val="center"/>
          </w:tcPr>
          <w:p>
            <w:pPr>
              <w:spacing w:line="400" w:lineRule="exact"/>
              <w:rPr>
                <w:rFonts w:ascii="Times New Roman" w:hAnsi="Times New Roman" w:cs="Times New Roman"/>
                <w:color w:val="000000"/>
                <w:sz w:val="24"/>
                <w:szCs w:val="24"/>
              </w:rPr>
            </w:pPr>
            <w:r>
              <w:rPr>
                <w:rFonts w:hint="eastAsia" w:ascii="Times New Roman" w:hAnsi="Times New Roman" w:cs="宋体"/>
                <w:color w:val="000000"/>
                <w:sz w:val="24"/>
                <w:szCs w:val="24"/>
              </w:rPr>
              <w:t>完成地名图录典志编撰出版，开展地名地址云平台的推广使用和数据更新。</w:t>
            </w:r>
          </w:p>
        </w:tc>
        <w:tc>
          <w:tcPr>
            <w:tcW w:w="816" w:type="dxa"/>
            <w:vAlign w:val="center"/>
          </w:tcPr>
          <w:p>
            <w:pPr>
              <w:spacing w:line="400" w:lineRule="exact"/>
              <w:jc w:val="center"/>
              <w:rPr>
                <w:rFonts w:ascii="Times New Roman" w:hAnsi="Times New Roman" w:cs="Times New Roman"/>
                <w:color w:val="000000"/>
                <w:sz w:val="24"/>
                <w:szCs w:val="24"/>
              </w:rPr>
            </w:pPr>
            <w:r>
              <w:rPr>
                <w:rFonts w:ascii="Times New Roman" w:hAnsi="Times New Roman" w:cs="Times New Roman"/>
                <w:color w:val="000000"/>
                <w:sz w:val="24"/>
                <w:szCs w:val="24"/>
              </w:rPr>
              <w:t>2</w:t>
            </w:r>
            <w:r>
              <w:rPr>
                <w:rFonts w:hint="eastAsia" w:ascii="Times New Roman" w:hAnsi="Times New Roman" w:cs="宋体"/>
                <w:color w:val="000000"/>
                <w:sz w:val="24"/>
                <w:szCs w:val="24"/>
              </w:rPr>
              <w:t>分</w:t>
            </w:r>
          </w:p>
        </w:tc>
      </w:tr>
    </w:tbl>
    <w:p>
      <w:pPr>
        <w:spacing w:line="580" w:lineRule="exact"/>
        <w:ind w:firstLine="640" w:firstLineChars="200"/>
        <w:rPr>
          <w:rFonts w:ascii="Times New Roman" w:hAnsi="Times New Roman" w:eastAsia="仿宋" w:cs="Times New Roman"/>
          <w:color w:val="000000"/>
          <w:sz w:val="32"/>
          <w:szCs w:val="32"/>
        </w:rPr>
      </w:pPr>
      <w:r>
        <w:rPr>
          <w:rFonts w:hint="eastAsia" w:ascii="Times New Roman" w:hAnsi="Times New Roman" w:eastAsia="仿宋" w:cs="仿宋"/>
          <w:color w:val="000000"/>
          <w:sz w:val="32"/>
          <w:szCs w:val="32"/>
        </w:rPr>
        <w:t>本项指标主要从地名图录典志编纂出版完成情况、成果电子化处理、上传等方面以及地名地址云平台的使用推广等方面进行评估。目标值的主要依据是《国务院关于开展第二次全国地名普查的通知》、《国务院第二次全国地名普查领导小组办公室关于印发</w:t>
      </w:r>
      <w:r>
        <w:rPr>
          <w:rFonts w:ascii="Times New Roman" w:hAnsi="Times New Roman" w:eastAsia="仿宋" w:cs="Times New Roman"/>
          <w:color w:val="000000"/>
          <w:sz w:val="32"/>
          <w:szCs w:val="32"/>
        </w:rPr>
        <w:t>&lt;</w:t>
      </w:r>
      <w:r>
        <w:rPr>
          <w:rFonts w:hint="eastAsia" w:ascii="Times New Roman" w:hAnsi="Times New Roman" w:eastAsia="仿宋" w:cs="仿宋"/>
          <w:color w:val="000000"/>
          <w:sz w:val="32"/>
          <w:szCs w:val="32"/>
        </w:rPr>
        <w:t>第二次全国地名普查成果转化规划（</w:t>
      </w:r>
      <w:r>
        <w:rPr>
          <w:rFonts w:ascii="Times New Roman" w:hAnsi="Times New Roman" w:eastAsia="仿宋" w:cs="Times New Roman"/>
          <w:color w:val="000000"/>
          <w:sz w:val="32"/>
          <w:szCs w:val="32"/>
        </w:rPr>
        <w:t>2015-2020</w:t>
      </w:r>
      <w:r>
        <w:rPr>
          <w:rFonts w:hint="eastAsia" w:ascii="Times New Roman" w:hAnsi="Times New Roman" w:eastAsia="仿宋" w:cs="仿宋"/>
          <w:color w:val="000000"/>
          <w:sz w:val="32"/>
          <w:szCs w:val="32"/>
        </w:rPr>
        <w:t>年）</w:t>
      </w:r>
      <w:r>
        <w:rPr>
          <w:rFonts w:ascii="Times New Roman" w:hAnsi="Times New Roman" w:eastAsia="仿宋" w:cs="Times New Roman"/>
          <w:color w:val="000000"/>
          <w:sz w:val="32"/>
          <w:szCs w:val="32"/>
        </w:rPr>
        <w:t>&gt;</w:t>
      </w:r>
      <w:r>
        <w:rPr>
          <w:rFonts w:hint="eastAsia" w:ascii="Times New Roman" w:hAnsi="Times New Roman" w:eastAsia="仿宋" w:cs="仿宋"/>
          <w:color w:val="000000"/>
          <w:sz w:val="32"/>
          <w:szCs w:val="32"/>
        </w:rPr>
        <w:t>的通知》、《湖南省第二次全国地名普查领导小组办公室关于印发</w:t>
      </w:r>
      <w:r>
        <w:rPr>
          <w:rFonts w:ascii="Times New Roman" w:hAnsi="Times New Roman" w:eastAsia="仿宋" w:cs="Times New Roman"/>
          <w:color w:val="000000"/>
          <w:sz w:val="32"/>
          <w:szCs w:val="32"/>
        </w:rPr>
        <w:t>&lt;</w:t>
      </w:r>
      <w:r>
        <w:rPr>
          <w:rFonts w:hint="eastAsia" w:ascii="Times New Roman" w:hAnsi="Times New Roman" w:eastAsia="仿宋" w:cs="仿宋"/>
          <w:color w:val="000000"/>
          <w:sz w:val="32"/>
          <w:szCs w:val="32"/>
        </w:rPr>
        <w:t>第二次全国地名普查成果转化规划（</w:t>
      </w:r>
      <w:r>
        <w:rPr>
          <w:rFonts w:ascii="Times New Roman" w:hAnsi="Times New Roman" w:eastAsia="仿宋" w:cs="Times New Roman"/>
          <w:color w:val="000000"/>
          <w:sz w:val="32"/>
          <w:szCs w:val="32"/>
        </w:rPr>
        <w:t>2016-2020</w:t>
      </w:r>
      <w:r>
        <w:rPr>
          <w:rFonts w:hint="eastAsia" w:ascii="Times New Roman" w:hAnsi="Times New Roman" w:eastAsia="仿宋" w:cs="仿宋"/>
          <w:color w:val="000000"/>
          <w:sz w:val="32"/>
          <w:szCs w:val="32"/>
        </w:rPr>
        <w:t>年）</w:t>
      </w:r>
      <w:r>
        <w:rPr>
          <w:rFonts w:ascii="Times New Roman" w:hAnsi="Times New Roman" w:eastAsia="仿宋" w:cs="Times New Roman"/>
          <w:color w:val="000000"/>
          <w:sz w:val="32"/>
          <w:szCs w:val="32"/>
        </w:rPr>
        <w:t>&gt;</w:t>
      </w:r>
      <w:r>
        <w:rPr>
          <w:rFonts w:hint="eastAsia" w:ascii="Times New Roman" w:hAnsi="Times New Roman" w:eastAsia="仿宋" w:cs="仿宋"/>
          <w:color w:val="000000"/>
          <w:sz w:val="32"/>
          <w:szCs w:val="32"/>
        </w:rPr>
        <w:t>的通知》。地名图录典志编纂出版及地名地址云平台的推广使用情况占</w:t>
      </w:r>
      <w:r>
        <w:rPr>
          <w:rFonts w:ascii="Times New Roman" w:hAnsi="Times New Roman" w:eastAsia="仿宋" w:cs="Times New Roman"/>
          <w:color w:val="000000"/>
          <w:sz w:val="32"/>
          <w:szCs w:val="32"/>
        </w:rPr>
        <w:t>2</w:t>
      </w:r>
      <w:r>
        <w:rPr>
          <w:rFonts w:hint="eastAsia" w:ascii="Times New Roman" w:hAnsi="Times New Roman" w:eastAsia="仿宋" w:cs="仿宋"/>
          <w:color w:val="000000"/>
          <w:sz w:val="32"/>
          <w:szCs w:val="32"/>
        </w:rPr>
        <w:t>分，评估方式主要是查看地名图录典志出版的成品书的出版情况和地名地址云平台的推广使用情况。地名图录典志未编纂出版的，扣</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分，其中少编纂出版</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本扣</w:t>
      </w:r>
      <w:r>
        <w:rPr>
          <w:rFonts w:ascii="Times New Roman" w:hAnsi="Times New Roman" w:eastAsia="仿宋" w:cs="Times New Roman"/>
          <w:color w:val="000000"/>
          <w:sz w:val="32"/>
          <w:szCs w:val="32"/>
        </w:rPr>
        <w:t>0.5</w:t>
      </w:r>
      <w:r>
        <w:rPr>
          <w:rFonts w:hint="eastAsia" w:ascii="Times New Roman" w:hAnsi="Times New Roman" w:eastAsia="仿宋" w:cs="仿宋"/>
          <w:color w:val="000000"/>
          <w:sz w:val="32"/>
          <w:szCs w:val="32"/>
        </w:rPr>
        <w:t>分，扣完为止。未推广使用地名地址云平台的扣</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其中未按时提交更新数据的扣</w:t>
      </w:r>
      <w:r>
        <w:rPr>
          <w:rFonts w:ascii="Times New Roman" w:hAnsi="Times New Roman" w:eastAsia="仿宋" w:cs="Times New Roman"/>
          <w:color w:val="000000"/>
          <w:sz w:val="32"/>
          <w:szCs w:val="32"/>
        </w:rPr>
        <w:t>0.5</w:t>
      </w:r>
      <w:r>
        <w:rPr>
          <w:rFonts w:hint="eastAsia" w:ascii="Times New Roman" w:hAnsi="Times New Roman" w:eastAsia="仿宋" w:cs="仿宋"/>
          <w:color w:val="000000"/>
          <w:sz w:val="32"/>
          <w:szCs w:val="32"/>
        </w:rPr>
        <w:t>分。</w:t>
      </w:r>
    </w:p>
    <w:p>
      <w:pPr>
        <w:spacing w:line="580" w:lineRule="exact"/>
        <w:ind w:firstLine="643" w:firstLineChars="200"/>
        <w:rPr>
          <w:rFonts w:ascii="楷体_GB2312" w:hAnsi="Times New Roman" w:eastAsia="楷体_GB2312" w:cs="Times New Roman"/>
          <w:b/>
          <w:bCs/>
          <w:color w:val="000000"/>
          <w:sz w:val="32"/>
          <w:szCs w:val="32"/>
        </w:rPr>
      </w:pPr>
      <w:r>
        <w:rPr>
          <w:rFonts w:hint="eastAsia" w:ascii="楷体_GB2312" w:hAnsi="Times New Roman" w:eastAsia="楷体_GB2312" w:cs="楷体_GB2312"/>
          <w:b/>
          <w:bCs/>
          <w:color w:val="000000"/>
          <w:sz w:val="32"/>
          <w:szCs w:val="32"/>
        </w:rPr>
        <w:t>（五）社会化</w:t>
      </w:r>
    </w:p>
    <w:tbl>
      <w:tblPr>
        <w:tblStyle w:val="7"/>
        <w:tblW w:w="8733"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03"/>
        <w:gridCol w:w="6414"/>
        <w:gridCol w:w="8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6" w:hRule="atLeast"/>
          <w:jc w:val="center"/>
        </w:trPr>
        <w:tc>
          <w:tcPr>
            <w:tcW w:w="1503" w:type="dxa"/>
            <w:vAlign w:val="center"/>
          </w:tcPr>
          <w:p>
            <w:pPr>
              <w:spacing w:line="400" w:lineRule="exact"/>
              <w:jc w:val="center"/>
              <w:rPr>
                <w:rFonts w:ascii="Times New Roman" w:hAnsi="Times New Roman" w:cs="Times New Roman"/>
                <w:color w:val="000000"/>
                <w:sz w:val="24"/>
                <w:szCs w:val="24"/>
              </w:rPr>
            </w:pPr>
            <w:r>
              <w:rPr>
                <w:rFonts w:hint="eastAsia" w:ascii="Times New Roman" w:hAnsi="Times New Roman" w:cs="宋体"/>
                <w:color w:val="000000"/>
                <w:sz w:val="24"/>
                <w:szCs w:val="24"/>
              </w:rPr>
              <w:t>（二十四）</w:t>
            </w:r>
          </w:p>
        </w:tc>
        <w:tc>
          <w:tcPr>
            <w:tcW w:w="6414" w:type="dxa"/>
            <w:vAlign w:val="center"/>
          </w:tcPr>
          <w:p>
            <w:pPr>
              <w:spacing w:line="400" w:lineRule="exact"/>
              <w:rPr>
                <w:rFonts w:ascii="Times New Roman" w:hAnsi="Times New Roman" w:cs="Times New Roman"/>
                <w:color w:val="000000"/>
                <w:sz w:val="24"/>
                <w:szCs w:val="24"/>
              </w:rPr>
            </w:pPr>
            <w:r>
              <w:rPr>
                <w:rFonts w:hint="eastAsia" w:ascii="Times New Roman" w:hAnsi="Times New Roman" w:cs="宋体"/>
                <w:color w:val="000000"/>
                <w:sz w:val="24"/>
                <w:szCs w:val="24"/>
              </w:rPr>
              <w:t>辖区内</w:t>
            </w:r>
            <w:r>
              <w:rPr>
                <w:rFonts w:ascii="Times New Roman" w:hAnsi="Times New Roman" w:cs="Times New Roman"/>
                <w:color w:val="000000"/>
                <w:sz w:val="24"/>
                <w:szCs w:val="24"/>
              </w:rPr>
              <w:t>100%</w:t>
            </w:r>
            <w:r>
              <w:rPr>
                <w:rFonts w:hint="eastAsia" w:ascii="Times New Roman" w:hAnsi="Times New Roman" w:cs="宋体"/>
                <w:color w:val="000000"/>
                <w:sz w:val="24"/>
                <w:szCs w:val="24"/>
              </w:rPr>
              <w:t>的乡镇</w:t>
            </w:r>
            <w:r>
              <w:rPr>
                <w:rFonts w:ascii="Times New Roman" w:hAnsi="Times New Roman" w:cs="Times New Roman"/>
                <w:color w:val="000000"/>
                <w:sz w:val="24"/>
                <w:szCs w:val="24"/>
              </w:rPr>
              <w:t xml:space="preserve"> </w:t>
            </w:r>
            <w:r>
              <w:rPr>
                <w:rFonts w:hint="eastAsia" w:ascii="Times New Roman" w:hAnsi="Times New Roman" w:cs="宋体"/>
                <w:color w:val="000000"/>
                <w:sz w:val="24"/>
                <w:szCs w:val="24"/>
              </w:rPr>
              <w:t>（街道）建成社会工作服务站；</w:t>
            </w:r>
            <w:r>
              <w:rPr>
                <w:rFonts w:ascii="Times New Roman" w:hAnsi="Times New Roman" w:cs="Times New Roman"/>
                <w:color w:val="000000"/>
                <w:sz w:val="24"/>
                <w:szCs w:val="24"/>
              </w:rPr>
              <w:t>100%</w:t>
            </w:r>
            <w:r>
              <w:rPr>
                <w:rFonts w:hint="eastAsia" w:ascii="Times New Roman" w:hAnsi="Times New Roman" w:cs="宋体"/>
                <w:color w:val="000000"/>
                <w:sz w:val="24"/>
                <w:szCs w:val="24"/>
              </w:rPr>
              <w:t>的村（居）委会设置民生协理员；</w:t>
            </w:r>
            <w:r>
              <w:rPr>
                <w:rFonts w:ascii="Times New Roman" w:hAnsi="Times New Roman" w:cs="Times New Roman"/>
                <w:color w:val="000000"/>
                <w:sz w:val="24"/>
                <w:szCs w:val="24"/>
              </w:rPr>
              <w:t>30%</w:t>
            </w:r>
            <w:r>
              <w:rPr>
                <w:rFonts w:hint="eastAsia" w:ascii="Times New Roman" w:hAnsi="Times New Roman" w:cs="宋体"/>
                <w:color w:val="000000"/>
                <w:sz w:val="24"/>
                <w:szCs w:val="24"/>
              </w:rPr>
              <w:t>以上的城乡社区建成社会工作服务室；社会工作专业人才数量达到辖区人口总数的</w:t>
            </w:r>
            <w:r>
              <w:rPr>
                <w:rFonts w:ascii="Times New Roman" w:hAnsi="Times New Roman" w:cs="Times New Roman"/>
                <w:color w:val="000000"/>
                <w:sz w:val="24"/>
                <w:szCs w:val="24"/>
              </w:rPr>
              <w:t>1‰</w:t>
            </w:r>
            <w:r>
              <w:rPr>
                <w:rFonts w:hint="eastAsia" w:ascii="Times New Roman" w:hAnsi="Times New Roman" w:cs="宋体"/>
                <w:color w:val="000000"/>
                <w:sz w:val="24"/>
                <w:szCs w:val="24"/>
              </w:rPr>
              <w:t>；注册志愿者数量达到辖区人口总数的</w:t>
            </w:r>
            <w:r>
              <w:rPr>
                <w:rFonts w:ascii="Times New Roman" w:hAnsi="Times New Roman" w:cs="Times New Roman"/>
                <w:color w:val="000000"/>
                <w:sz w:val="24"/>
                <w:szCs w:val="24"/>
              </w:rPr>
              <w:t>13%</w:t>
            </w:r>
            <w:r>
              <w:rPr>
                <w:rFonts w:hint="eastAsia" w:ascii="Times New Roman" w:hAnsi="Times New Roman" w:cs="宋体"/>
                <w:color w:val="000000"/>
                <w:sz w:val="24"/>
                <w:szCs w:val="24"/>
              </w:rPr>
              <w:t>。</w:t>
            </w:r>
          </w:p>
        </w:tc>
        <w:tc>
          <w:tcPr>
            <w:tcW w:w="816" w:type="dxa"/>
            <w:vAlign w:val="center"/>
          </w:tcPr>
          <w:p>
            <w:pPr>
              <w:spacing w:line="400" w:lineRule="exact"/>
              <w:jc w:val="center"/>
              <w:rPr>
                <w:rFonts w:ascii="Times New Roman" w:hAnsi="Times New Roman" w:cs="Times New Roman"/>
                <w:color w:val="000000"/>
                <w:sz w:val="24"/>
                <w:szCs w:val="24"/>
              </w:rPr>
            </w:pPr>
            <w:r>
              <w:rPr>
                <w:rFonts w:ascii="Times New Roman" w:hAnsi="Times New Roman" w:cs="Times New Roman"/>
                <w:color w:val="000000"/>
                <w:sz w:val="24"/>
                <w:szCs w:val="24"/>
              </w:rPr>
              <w:t>5</w:t>
            </w:r>
            <w:r>
              <w:rPr>
                <w:rFonts w:hint="eastAsia" w:ascii="Times New Roman" w:hAnsi="Times New Roman" w:cs="宋体"/>
                <w:color w:val="000000"/>
                <w:sz w:val="24"/>
                <w:szCs w:val="24"/>
              </w:rPr>
              <w:t>分</w:t>
            </w:r>
          </w:p>
        </w:tc>
      </w:tr>
    </w:tbl>
    <w:p>
      <w:pPr>
        <w:spacing w:line="586" w:lineRule="exact"/>
        <w:ind w:firstLine="640" w:firstLineChars="200"/>
        <w:rPr>
          <w:rFonts w:ascii="Times New Roman" w:hAnsi="Times New Roman" w:eastAsia="仿宋" w:cs="Times New Roman"/>
          <w:color w:val="000000"/>
          <w:sz w:val="32"/>
          <w:szCs w:val="32"/>
        </w:rPr>
      </w:pPr>
      <w:r>
        <w:rPr>
          <w:rFonts w:hint="eastAsia" w:ascii="Times New Roman" w:hAnsi="Times New Roman" w:eastAsia="仿宋" w:cs="仿宋"/>
          <w:color w:val="000000"/>
          <w:sz w:val="32"/>
          <w:szCs w:val="32"/>
        </w:rPr>
        <w:t>本项指标包括乡镇（街道）社会工作服务站、村级民生协理员、城乡社区社会工作服务室、社会工作专业人才队伍和注册志愿者队伍等五个方面的内容。目标值的依据包括中组部等</w:t>
      </w:r>
      <w:r>
        <w:rPr>
          <w:rFonts w:ascii="Times New Roman" w:hAnsi="Times New Roman" w:eastAsia="仿宋" w:cs="Times New Roman"/>
          <w:color w:val="000000"/>
          <w:sz w:val="32"/>
          <w:szCs w:val="32"/>
        </w:rPr>
        <w:t>18</w:t>
      </w:r>
      <w:r>
        <w:rPr>
          <w:rFonts w:hint="eastAsia" w:ascii="Times New Roman" w:hAnsi="Times New Roman" w:eastAsia="仿宋" w:cs="仿宋"/>
          <w:color w:val="000000"/>
          <w:sz w:val="32"/>
          <w:szCs w:val="32"/>
        </w:rPr>
        <w:t>部委《关于加强社会工作专业人才队伍建设的意见》、《社会工作专业人才队伍建设中长期规划（</w:t>
      </w:r>
      <w:r>
        <w:rPr>
          <w:rFonts w:ascii="Times New Roman" w:hAnsi="Times New Roman" w:eastAsia="仿宋" w:cs="Times New Roman"/>
          <w:color w:val="000000"/>
          <w:sz w:val="32"/>
          <w:szCs w:val="32"/>
        </w:rPr>
        <w:t>2011-2020</w:t>
      </w:r>
      <w:r>
        <w:rPr>
          <w:rFonts w:hint="eastAsia" w:ascii="Times New Roman" w:hAnsi="Times New Roman" w:eastAsia="仿宋" w:cs="仿宋"/>
          <w:color w:val="000000"/>
          <w:sz w:val="32"/>
          <w:szCs w:val="32"/>
        </w:rPr>
        <w:t>年）》、省委组织部等</w:t>
      </w:r>
      <w:r>
        <w:rPr>
          <w:rFonts w:ascii="Times New Roman" w:hAnsi="Times New Roman" w:eastAsia="仿宋" w:cs="Times New Roman"/>
          <w:color w:val="000000"/>
          <w:sz w:val="32"/>
          <w:szCs w:val="32"/>
        </w:rPr>
        <w:t>17</w:t>
      </w:r>
      <w:r>
        <w:rPr>
          <w:rFonts w:hint="eastAsia" w:ascii="Times New Roman" w:hAnsi="Times New Roman" w:eastAsia="仿宋" w:cs="仿宋"/>
          <w:color w:val="000000"/>
          <w:sz w:val="32"/>
          <w:szCs w:val="32"/>
        </w:rPr>
        <w:t>部门《关于加强社会工作专业人才队伍建设的实施意见》、省民政厅等</w:t>
      </w:r>
      <w:r>
        <w:rPr>
          <w:rFonts w:ascii="Times New Roman" w:hAnsi="Times New Roman" w:eastAsia="仿宋" w:cs="Times New Roman"/>
          <w:color w:val="000000"/>
          <w:sz w:val="32"/>
          <w:szCs w:val="32"/>
        </w:rPr>
        <w:t>6</w:t>
      </w:r>
      <w:r>
        <w:rPr>
          <w:rFonts w:hint="eastAsia" w:ascii="Times New Roman" w:hAnsi="Times New Roman" w:eastAsia="仿宋" w:cs="仿宋"/>
          <w:color w:val="000000"/>
          <w:sz w:val="32"/>
          <w:szCs w:val="32"/>
        </w:rPr>
        <w:t>部门《关于推进政府购买服务加强基层民政经办服务能力的实施意见》等系列文件和民政部及我省民政事业十三五规划指标体系与重点工程范围的要求。本指标通过实地评估及资料查阅的方式进行评估，其中社会专业人才数量以及注册志愿者数量按照民政部统计口径进行统计。</w:t>
      </w:r>
    </w:p>
    <w:p>
      <w:pPr>
        <w:spacing w:line="586" w:lineRule="exact"/>
        <w:ind w:firstLine="640" w:firstLineChars="200"/>
        <w:rPr>
          <w:rFonts w:ascii="Times New Roman" w:hAnsi="Times New Roman" w:eastAsia="仿宋" w:cs="Times New Roman"/>
          <w:color w:val="000000"/>
          <w:sz w:val="32"/>
          <w:szCs w:val="32"/>
        </w:rPr>
      </w:pPr>
      <w:r>
        <w:rPr>
          <w:rFonts w:hint="eastAsia" w:ascii="Times New Roman" w:hAnsi="Times New Roman" w:eastAsia="仿宋" w:cs="仿宋"/>
          <w:color w:val="000000"/>
          <w:sz w:val="32"/>
          <w:szCs w:val="32"/>
        </w:rPr>
        <w:t>乡镇（街道）社会工作服务站建设占</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w:t>
      </w:r>
      <w:r>
        <w:rPr>
          <w:rFonts w:ascii="Times New Roman" w:hAnsi="Times New Roman" w:eastAsia="仿宋" w:cs="Times New Roman"/>
          <w:color w:val="000000"/>
          <w:sz w:val="32"/>
          <w:szCs w:val="32"/>
        </w:rPr>
        <w:t>80%</w:t>
      </w:r>
      <w:r>
        <w:rPr>
          <w:rFonts w:hint="eastAsia" w:ascii="Times New Roman" w:hAnsi="Times New Roman" w:eastAsia="仿宋" w:cs="仿宋"/>
          <w:color w:val="000000"/>
          <w:sz w:val="32"/>
          <w:szCs w:val="32"/>
        </w:rPr>
        <w:t>以上</w:t>
      </w:r>
      <w:r>
        <w:rPr>
          <w:rFonts w:ascii="Times New Roman" w:hAnsi="Times New Roman" w:eastAsia="仿宋" w:cs="Times New Roman"/>
          <w:color w:val="000000"/>
          <w:sz w:val="32"/>
          <w:szCs w:val="32"/>
        </w:rPr>
        <w:t>90%</w:t>
      </w:r>
      <w:r>
        <w:rPr>
          <w:rFonts w:hint="eastAsia" w:ascii="Times New Roman" w:hAnsi="Times New Roman" w:eastAsia="仿宋" w:cs="仿宋"/>
          <w:color w:val="000000"/>
          <w:sz w:val="32"/>
          <w:szCs w:val="32"/>
        </w:rPr>
        <w:t>以下扣</w:t>
      </w:r>
      <w:r>
        <w:rPr>
          <w:rFonts w:ascii="Times New Roman" w:hAnsi="Times New Roman" w:eastAsia="仿宋" w:cs="Times New Roman"/>
          <w:color w:val="000000"/>
          <w:sz w:val="32"/>
          <w:szCs w:val="32"/>
        </w:rPr>
        <w:t>0.5</w:t>
      </w:r>
      <w:r>
        <w:rPr>
          <w:rFonts w:hint="eastAsia" w:ascii="Times New Roman" w:hAnsi="Times New Roman" w:eastAsia="仿宋" w:cs="仿宋"/>
          <w:color w:val="000000"/>
          <w:sz w:val="32"/>
          <w:szCs w:val="32"/>
        </w:rPr>
        <w:t>分，</w:t>
      </w:r>
      <w:r>
        <w:rPr>
          <w:rFonts w:ascii="Times New Roman" w:hAnsi="Times New Roman" w:eastAsia="仿宋" w:cs="Times New Roman"/>
          <w:color w:val="000000"/>
          <w:sz w:val="32"/>
          <w:szCs w:val="32"/>
        </w:rPr>
        <w:t>80%</w:t>
      </w:r>
      <w:r>
        <w:rPr>
          <w:rFonts w:hint="eastAsia" w:ascii="Times New Roman" w:hAnsi="Times New Roman" w:eastAsia="仿宋" w:cs="仿宋"/>
          <w:color w:val="000000"/>
          <w:sz w:val="32"/>
          <w:szCs w:val="32"/>
        </w:rPr>
        <w:t>以下扣</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w:t>
      </w:r>
    </w:p>
    <w:p>
      <w:pPr>
        <w:spacing w:line="586" w:lineRule="exact"/>
        <w:ind w:firstLine="640" w:firstLineChars="200"/>
        <w:rPr>
          <w:rFonts w:ascii="Times New Roman" w:hAnsi="Times New Roman" w:eastAsia="仿宋" w:cs="Times New Roman"/>
          <w:color w:val="000000"/>
          <w:sz w:val="32"/>
          <w:szCs w:val="32"/>
        </w:rPr>
      </w:pPr>
      <w:r>
        <w:rPr>
          <w:rFonts w:ascii="Times New Roman" w:hAnsi="Times New Roman" w:eastAsia="仿宋" w:cs="Times New Roman"/>
          <w:color w:val="000000"/>
          <w:sz w:val="32"/>
          <w:szCs w:val="32"/>
        </w:rPr>
        <w:t>“100%</w:t>
      </w:r>
      <w:r>
        <w:rPr>
          <w:rFonts w:hint="eastAsia" w:ascii="Times New Roman" w:hAnsi="Times New Roman" w:eastAsia="仿宋" w:cs="仿宋"/>
          <w:color w:val="000000"/>
          <w:sz w:val="32"/>
          <w:szCs w:val="32"/>
        </w:rPr>
        <w:t>的村（居）委会设立民生协理员</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占</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分，是指截至评估之日，被评估县市区每个村（居）委会设置</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名兼职民生协理员，负责村级有关民政服务工作落实。评估方式为查阅全县村级民生协理员统计表、政府购买服务合同等资料。</w:t>
      </w:r>
      <w:r>
        <w:rPr>
          <w:rFonts w:ascii="Times New Roman" w:hAnsi="Times New Roman" w:eastAsia="仿宋" w:cs="Times New Roman"/>
          <w:color w:val="000000"/>
          <w:sz w:val="32"/>
          <w:szCs w:val="32"/>
        </w:rPr>
        <w:t>80%</w:t>
      </w:r>
      <w:r>
        <w:rPr>
          <w:rFonts w:hint="eastAsia" w:ascii="Times New Roman" w:hAnsi="Times New Roman" w:eastAsia="仿宋" w:cs="仿宋"/>
          <w:color w:val="000000"/>
          <w:sz w:val="32"/>
          <w:szCs w:val="32"/>
        </w:rPr>
        <w:t>以上</w:t>
      </w:r>
      <w:r>
        <w:rPr>
          <w:rFonts w:ascii="Times New Roman" w:hAnsi="Times New Roman" w:eastAsia="仿宋" w:cs="Times New Roman"/>
          <w:color w:val="000000"/>
          <w:sz w:val="32"/>
          <w:szCs w:val="32"/>
        </w:rPr>
        <w:t>90%</w:t>
      </w:r>
      <w:r>
        <w:rPr>
          <w:rFonts w:hint="eastAsia" w:ascii="Times New Roman" w:hAnsi="Times New Roman" w:eastAsia="仿宋" w:cs="仿宋"/>
          <w:color w:val="000000"/>
          <w:sz w:val="32"/>
          <w:szCs w:val="32"/>
        </w:rPr>
        <w:t>以下扣</w:t>
      </w:r>
      <w:r>
        <w:rPr>
          <w:rFonts w:ascii="Times New Roman" w:hAnsi="Times New Roman" w:eastAsia="仿宋" w:cs="Times New Roman"/>
          <w:color w:val="000000"/>
          <w:sz w:val="32"/>
          <w:szCs w:val="32"/>
        </w:rPr>
        <w:t>0.5</w:t>
      </w:r>
      <w:r>
        <w:rPr>
          <w:rFonts w:hint="eastAsia" w:ascii="Times New Roman" w:hAnsi="Times New Roman" w:eastAsia="仿宋" w:cs="仿宋"/>
          <w:color w:val="000000"/>
          <w:sz w:val="32"/>
          <w:szCs w:val="32"/>
        </w:rPr>
        <w:t>分，低于</w:t>
      </w:r>
      <w:r>
        <w:rPr>
          <w:rFonts w:ascii="Times New Roman" w:hAnsi="Times New Roman" w:eastAsia="仿宋" w:cs="Times New Roman"/>
          <w:color w:val="000000"/>
          <w:sz w:val="32"/>
          <w:szCs w:val="32"/>
        </w:rPr>
        <w:t>80%</w:t>
      </w:r>
      <w:r>
        <w:rPr>
          <w:rFonts w:hint="eastAsia" w:ascii="Times New Roman" w:hAnsi="Times New Roman" w:eastAsia="仿宋" w:cs="仿宋"/>
          <w:color w:val="000000"/>
          <w:sz w:val="32"/>
          <w:szCs w:val="32"/>
        </w:rPr>
        <w:t>的扣</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w:t>
      </w:r>
    </w:p>
    <w:p>
      <w:pPr>
        <w:spacing w:line="586" w:lineRule="exact"/>
        <w:ind w:firstLine="640" w:firstLineChars="200"/>
        <w:rPr>
          <w:rFonts w:ascii="Times New Roman" w:hAnsi="Times New Roman" w:eastAsia="仿宋" w:cs="Times New Roman"/>
          <w:color w:val="000000"/>
          <w:sz w:val="32"/>
          <w:szCs w:val="32"/>
        </w:rPr>
      </w:pPr>
      <w:r>
        <w:rPr>
          <w:rFonts w:hint="eastAsia" w:ascii="Times New Roman" w:hAnsi="Times New Roman" w:eastAsia="仿宋" w:cs="仿宋"/>
          <w:color w:val="000000"/>
          <w:sz w:val="32"/>
          <w:szCs w:val="32"/>
        </w:rPr>
        <w:t>城乡社区建成社会工作服务室占</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w:t>
      </w:r>
      <w:r>
        <w:rPr>
          <w:rFonts w:ascii="Times New Roman" w:hAnsi="Times New Roman" w:eastAsia="仿宋" w:cs="Times New Roman"/>
          <w:color w:val="000000"/>
          <w:sz w:val="32"/>
          <w:szCs w:val="32"/>
        </w:rPr>
        <w:t>15%</w:t>
      </w:r>
      <w:r>
        <w:rPr>
          <w:rFonts w:hint="eastAsia" w:ascii="Times New Roman" w:hAnsi="Times New Roman" w:eastAsia="仿宋" w:cs="仿宋"/>
          <w:color w:val="000000"/>
          <w:sz w:val="32"/>
          <w:szCs w:val="32"/>
        </w:rPr>
        <w:t>以上</w:t>
      </w:r>
      <w:r>
        <w:rPr>
          <w:rFonts w:ascii="Times New Roman" w:hAnsi="Times New Roman" w:eastAsia="仿宋" w:cs="Times New Roman"/>
          <w:color w:val="000000"/>
          <w:sz w:val="32"/>
          <w:szCs w:val="32"/>
        </w:rPr>
        <w:t>30%</w:t>
      </w:r>
      <w:r>
        <w:rPr>
          <w:rFonts w:hint="eastAsia" w:ascii="Times New Roman" w:hAnsi="Times New Roman" w:eastAsia="仿宋" w:cs="仿宋"/>
          <w:color w:val="000000"/>
          <w:sz w:val="32"/>
          <w:szCs w:val="32"/>
        </w:rPr>
        <w:t>以下扣</w:t>
      </w:r>
      <w:r>
        <w:rPr>
          <w:rFonts w:ascii="Times New Roman" w:hAnsi="Times New Roman" w:eastAsia="仿宋" w:cs="Times New Roman"/>
          <w:color w:val="000000"/>
          <w:sz w:val="32"/>
          <w:szCs w:val="32"/>
        </w:rPr>
        <w:t>0.5</w:t>
      </w:r>
      <w:r>
        <w:rPr>
          <w:rFonts w:hint="eastAsia" w:ascii="Times New Roman" w:hAnsi="Times New Roman" w:eastAsia="仿宋" w:cs="仿宋"/>
          <w:color w:val="000000"/>
          <w:sz w:val="32"/>
          <w:szCs w:val="32"/>
        </w:rPr>
        <w:t>分，低于</w:t>
      </w:r>
      <w:r>
        <w:rPr>
          <w:rFonts w:ascii="Times New Roman" w:hAnsi="Times New Roman" w:eastAsia="仿宋" w:cs="Times New Roman"/>
          <w:color w:val="000000"/>
          <w:sz w:val="32"/>
          <w:szCs w:val="32"/>
        </w:rPr>
        <w:t>15%</w:t>
      </w:r>
      <w:r>
        <w:rPr>
          <w:rFonts w:hint="eastAsia" w:ascii="Times New Roman" w:hAnsi="Times New Roman" w:eastAsia="仿宋" w:cs="仿宋"/>
          <w:color w:val="000000"/>
          <w:sz w:val="32"/>
          <w:szCs w:val="32"/>
        </w:rPr>
        <w:t>扣</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w:t>
      </w:r>
    </w:p>
    <w:p>
      <w:pPr>
        <w:spacing w:line="586" w:lineRule="exact"/>
        <w:ind w:firstLine="640" w:firstLineChars="200"/>
        <w:rPr>
          <w:rFonts w:ascii="Times New Roman" w:hAnsi="Times New Roman" w:eastAsia="仿宋" w:cs="Times New Roman"/>
          <w:color w:val="000000"/>
          <w:sz w:val="32"/>
          <w:szCs w:val="32"/>
        </w:rPr>
      </w:pP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社会工作专业人才数量达到辖区人口总数的</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占</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分。社会工作专业人才是指具备一定社会工作专业素质，在相关领域从事专门性社会服务的人员。其中：</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一定社会工作专业素质</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具备以下条件之一即可，不重复统计：（</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）取得全国社会工作者职业水平证书；（</w:t>
      </w:r>
      <w:r>
        <w:rPr>
          <w:rFonts w:ascii="Times New Roman" w:hAnsi="Times New Roman" w:eastAsia="仿宋" w:cs="Times New Roman"/>
          <w:color w:val="000000"/>
          <w:sz w:val="32"/>
          <w:szCs w:val="32"/>
        </w:rPr>
        <w:t>2</w:t>
      </w:r>
      <w:r>
        <w:rPr>
          <w:rFonts w:hint="eastAsia" w:ascii="Times New Roman" w:hAnsi="Times New Roman" w:eastAsia="仿宋" w:cs="仿宋"/>
          <w:color w:val="000000"/>
          <w:sz w:val="32"/>
          <w:szCs w:val="32"/>
        </w:rPr>
        <w:t>）取得地方民政部门认可的社会工作员职业水平证书；（</w:t>
      </w:r>
      <w:r>
        <w:rPr>
          <w:rFonts w:ascii="Times New Roman" w:hAnsi="Times New Roman" w:eastAsia="仿宋" w:cs="Times New Roman"/>
          <w:color w:val="000000"/>
          <w:sz w:val="32"/>
          <w:szCs w:val="32"/>
        </w:rPr>
        <w:t>3</w:t>
      </w:r>
      <w:r>
        <w:rPr>
          <w:rFonts w:hint="eastAsia" w:ascii="Times New Roman" w:hAnsi="Times New Roman" w:eastAsia="仿宋" w:cs="仿宋"/>
          <w:color w:val="000000"/>
          <w:sz w:val="32"/>
          <w:szCs w:val="32"/>
        </w:rPr>
        <w:t>）取得社会工作及相关专业大专以上学历，相关专业主要是社会学、社会政策、民政管理、社区管理等专业；（</w:t>
      </w:r>
      <w:r>
        <w:rPr>
          <w:rFonts w:ascii="Times New Roman" w:hAnsi="Times New Roman" w:eastAsia="仿宋" w:cs="Times New Roman"/>
          <w:color w:val="000000"/>
          <w:sz w:val="32"/>
          <w:szCs w:val="32"/>
        </w:rPr>
        <w:t>4</w:t>
      </w:r>
      <w:r>
        <w:rPr>
          <w:rFonts w:hint="eastAsia" w:ascii="Times New Roman" w:hAnsi="Times New Roman" w:eastAsia="仿宋" w:cs="仿宋"/>
          <w:color w:val="000000"/>
          <w:sz w:val="32"/>
          <w:szCs w:val="32"/>
        </w:rPr>
        <w:t>）</w:t>
      </w:r>
      <w:r>
        <w:rPr>
          <w:rFonts w:ascii="Times New Roman" w:hAnsi="Times New Roman" w:eastAsia="仿宋" w:cs="Times New Roman"/>
          <w:color w:val="000000"/>
          <w:sz w:val="32"/>
          <w:szCs w:val="32"/>
        </w:rPr>
        <w:t>2011</w:t>
      </w:r>
      <w:r>
        <w:rPr>
          <w:rFonts w:hint="eastAsia" w:ascii="Times New Roman" w:hAnsi="Times New Roman" w:eastAsia="仿宋" w:cs="仿宋"/>
          <w:color w:val="000000"/>
          <w:sz w:val="32"/>
          <w:szCs w:val="32"/>
        </w:rPr>
        <w:t>年以来接受过累计不少于</w:t>
      </w:r>
      <w:r>
        <w:rPr>
          <w:rFonts w:ascii="Times New Roman" w:hAnsi="Times New Roman" w:eastAsia="仿宋" w:cs="Times New Roman"/>
          <w:color w:val="000000"/>
          <w:sz w:val="32"/>
          <w:szCs w:val="32"/>
        </w:rPr>
        <w:t>120</w:t>
      </w:r>
      <w:r>
        <w:rPr>
          <w:rFonts w:hint="eastAsia" w:ascii="Times New Roman" w:hAnsi="Times New Roman" w:eastAsia="仿宋" w:cs="仿宋"/>
          <w:color w:val="000000"/>
          <w:sz w:val="32"/>
          <w:szCs w:val="32"/>
        </w:rPr>
        <w:t>小时的社会工作专业教育或培训。</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相关领域</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主要包括：社会福利、社会救助、扶贫济困、慈善事业、社区建设、婚姻家庭、精神卫生、残障康复、教育辅导、就业援助、职工服务、犯罪预防、禁毒戒毒、矫治帮教、人口计生、应急处置等。</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专门性社会服务</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主要包括：（</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）生活帮扶、生计发展、就业援助服务；（</w:t>
      </w:r>
      <w:r>
        <w:rPr>
          <w:rFonts w:ascii="Times New Roman" w:hAnsi="Times New Roman" w:eastAsia="仿宋" w:cs="Times New Roman"/>
          <w:color w:val="000000"/>
          <w:sz w:val="32"/>
          <w:szCs w:val="32"/>
        </w:rPr>
        <w:t>2</w:t>
      </w:r>
      <w:r>
        <w:rPr>
          <w:rFonts w:hint="eastAsia" w:ascii="Times New Roman" w:hAnsi="Times New Roman" w:eastAsia="仿宋" w:cs="仿宋"/>
          <w:color w:val="000000"/>
          <w:sz w:val="32"/>
          <w:szCs w:val="32"/>
        </w:rPr>
        <w:t>）情绪疏导、精神抚慰服务；（</w:t>
      </w:r>
      <w:r>
        <w:rPr>
          <w:rFonts w:ascii="Times New Roman" w:hAnsi="Times New Roman" w:eastAsia="仿宋" w:cs="Times New Roman"/>
          <w:color w:val="000000"/>
          <w:sz w:val="32"/>
          <w:szCs w:val="32"/>
        </w:rPr>
        <w:t>3</w:t>
      </w:r>
      <w:r>
        <w:rPr>
          <w:rFonts w:hint="eastAsia" w:ascii="Times New Roman" w:hAnsi="Times New Roman" w:eastAsia="仿宋" w:cs="仿宋"/>
          <w:color w:val="000000"/>
          <w:sz w:val="32"/>
          <w:szCs w:val="32"/>
        </w:rPr>
        <w:t>）矛盾纠纷调节、家庭与社会关系调适服务；（</w:t>
      </w:r>
      <w:r>
        <w:rPr>
          <w:rFonts w:ascii="Times New Roman" w:hAnsi="Times New Roman" w:eastAsia="仿宋" w:cs="Times New Roman"/>
          <w:color w:val="000000"/>
          <w:sz w:val="32"/>
          <w:szCs w:val="32"/>
        </w:rPr>
        <w:t>4</w:t>
      </w:r>
      <w:r>
        <w:rPr>
          <w:rFonts w:hint="eastAsia" w:ascii="Times New Roman" w:hAnsi="Times New Roman" w:eastAsia="仿宋" w:cs="仿宋"/>
          <w:color w:val="000000"/>
          <w:sz w:val="32"/>
          <w:szCs w:val="32"/>
        </w:rPr>
        <w:t>）针对特殊困难群体的权益维护、政策咨询、资源链接、能力提升及社会支持网络建设服务；（</w:t>
      </w:r>
      <w:r>
        <w:rPr>
          <w:rFonts w:ascii="Times New Roman" w:hAnsi="Times New Roman" w:eastAsia="仿宋" w:cs="Times New Roman"/>
          <w:color w:val="000000"/>
          <w:sz w:val="32"/>
          <w:szCs w:val="32"/>
        </w:rPr>
        <w:t>5</w:t>
      </w:r>
      <w:r>
        <w:rPr>
          <w:rFonts w:hint="eastAsia" w:ascii="Times New Roman" w:hAnsi="Times New Roman" w:eastAsia="仿宋" w:cs="仿宋"/>
          <w:color w:val="000000"/>
          <w:sz w:val="32"/>
          <w:szCs w:val="32"/>
        </w:rPr>
        <w:t>）行为矫治、戒毒康复、危机干预服务；（</w:t>
      </w:r>
      <w:r>
        <w:rPr>
          <w:rFonts w:ascii="Times New Roman" w:hAnsi="Times New Roman" w:eastAsia="仿宋" w:cs="Times New Roman"/>
          <w:color w:val="000000"/>
          <w:sz w:val="32"/>
          <w:szCs w:val="32"/>
        </w:rPr>
        <w:t>6</w:t>
      </w:r>
      <w:r>
        <w:rPr>
          <w:rFonts w:hint="eastAsia" w:ascii="Times New Roman" w:hAnsi="Times New Roman" w:eastAsia="仿宋" w:cs="仿宋"/>
          <w:color w:val="000000"/>
          <w:sz w:val="32"/>
          <w:szCs w:val="32"/>
        </w:rPr>
        <w:t>）推动社区发展，促进社会融入、社会参与的服务；（</w:t>
      </w:r>
      <w:r>
        <w:rPr>
          <w:rFonts w:ascii="Times New Roman" w:hAnsi="Times New Roman" w:eastAsia="仿宋" w:cs="Times New Roman"/>
          <w:color w:val="000000"/>
          <w:sz w:val="32"/>
          <w:szCs w:val="32"/>
        </w:rPr>
        <w:t>7</w:t>
      </w:r>
      <w:r>
        <w:rPr>
          <w:rFonts w:hint="eastAsia" w:ascii="Times New Roman" w:hAnsi="Times New Roman" w:eastAsia="仿宋" w:cs="仿宋"/>
          <w:color w:val="000000"/>
          <w:sz w:val="32"/>
          <w:szCs w:val="32"/>
        </w:rPr>
        <w:t>）其他旨在满足服务对象心理社会需求、增强社会功能的服务。此外，也包括针对上述专门性社会服务的机构管理、项目管理、教育研究工作。公务员不参加统计，但以直接提供上述服务为主要工作的公务员除外。社会工作专业人才数量未达到</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扣</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w:t>
      </w:r>
    </w:p>
    <w:p>
      <w:pPr>
        <w:spacing w:line="560" w:lineRule="exact"/>
        <w:ind w:firstLine="640" w:firstLineChars="200"/>
        <w:rPr>
          <w:rFonts w:ascii="Times New Roman" w:hAnsi="Times New Roman" w:eastAsia="仿宋" w:cs="Times New Roman"/>
          <w:color w:val="000000"/>
          <w:sz w:val="32"/>
          <w:szCs w:val="32"/>
        </w:rPr>
      </w:pPr>
      <w:r>
        <w:rPr>
          <w:rFonts w:hint="eastAsia" w:ascii="Times New Roman" w:hAnsi="Times New Roman" w:eastAsia="仿宋" w:cs="仿宋"/>
          <w:color w:val="000000"/>
          <w:sz w:val="32"/>
          <w:szCs w:val="32"/>
        </w:rPr>
        <w:t>注册志愿者数量占</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分，以在全国志愿服务信息系统注册数量为准，未达到</w:t>
      </w:r>
      <w:r>
        <w:rPr>
          <w:rFonts w:ascii="Times New Roman" w:hAnsi="Times New Roman" w:eastAsia="仿宋" w:cs="Times New Roman"/>
          <w:color w:val="000000"/>
          <w:sz w:val="32"/>
          <w:szCs w:val="32"/>
        </w:rPr>
        <w:t>13%</w:t>
      </w:r>
      <w:r>
        <w:rPr>
          <w:rFonts w:hint="eastAsia" w:ascii="Times New Roman" w:hAnsi="Times New Roman" w:eastAsia="仿宋" w:cs="仿宋"/>
          <w:color w:val="000000"/>
          <w:sz w:val="32"/>
          <w:szCs w:val="32"/>
        </w:rPr>
        <w:t>的扣</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w:t>
      </w:r>
    </w:p>
    <w:tbl>
      <w:tblPr>
        <w:tblStyle w:val="7"/>
        <w:tblW w:w="8796"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13"/>
        <w:gridCol w:w="5797"/>
        <w:gridCol w:w="11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35" w:hRule="atLeast"/>
          <w:jc w:val="center"/>
        </w:trPr>
        <w:tc>
          <w:tcPr>
            <w:tcW w:w="1813" w:type="dxa"/>
            <w:vAlign w:val="center"/>
          </w:tcPr>
          <w:p>
            <w:pPr>
              <w:spacing w:line="400" w:lineRule="exact"/>
              <w:jc w:val="center"/>
              <w:rPr>
                <w:rFonts w:ascii="宋体" w:cs="Times New Roman"/>
                <w:color w:val="000000"/>
                <w:sz w:val="24"/>
                <w:szCs w:val="24"/>
              </w:rPr>
            </w:pPr>
            <w:r>
              <w:rPr>
                <w:rFonts w:hint="eastAsia" w:ascii="宋体" w:hAnsi="宋体" w:cs="宋体"/>
                <w:color w:val="000000"/>
                <w:sz w:val="24"/>
                <w:szCs w:val="24"/>
              </w:rPr>
              <w:t>（二十五）</w:t>
            </w:r>
          </w:p>
        </w:tc>
        <w:tc>
          <w:tcPr>
            <w:tcW w:w="5797" w:type="dxa"/>
            <w:vAlign w:val="center"/>
          </w:tcPr>
          <w:p>
            <w:pPr>
              <w:spacing w:line="400" w:lineRule="exact"/>
              <w:rPr>
                <w:rFonts w:ascii="宋体" w:cs="Times New Roman"/>
                <w:color w:val="000000"/>
                <w:sz w:val="24"/>
                <w:szCs w:val="24"/>
              </w:rPr>
            </w:pPr>
            <w:r>
              <w:rPr>
                <w:rFonts w:hint="eastAsia" w:ascii="宋体" w:hAnsi="宋体" w:cs="宋体"/>
                <w:color w:val="000000"/>
                <w:sz w:val="24"/>
                <w:szCs w:val="24"/>
              </w:rPr>
              <w:t>福彩人均销量和人机比例高于全省平均水平，无擅自利用互联网售彩。</w:t>
            </w:r>
          </w:p>
        </w:tc>
        <w:tc>
          <w:tcPr>
            <w:tcW w:w="1186" w:type="dxa"/>
            <w:vAlign w:val="center"/>
          </w:tcPr>
          <w:p>
            <w:pPr>
              <w:spacing w:line="400" w:lineRule="exact"/>
              <w:jc w:val="center"/>
              <w:rPr>
                <w:rFonts w:ascii="宋体" w:cs="Times New Roman"/>
                <w:color w:val="000000"/>
                <w:sz w:val="24"/>
                <w:szCs w:val="24"/>
              </w:rPr>
            </w:pPr>
            <w:r>
              <w:rPr>
                <w:rFonts w:ascii="宋体" w:hAnsi="宋体" w:cs="宋体"/>
                <w:color w:val="000000"/>
                <w:sz w:val="24"/>
                <w:szCs w:val="24"/>
              </w:rPr>
              <w:t>3</w:t>
            </w:r>
            <w:r>
              <w:rPr>
                <w:rFonts w:hint="eastAsia" w:ascii="宋体" w:hAnsi="宋体" w:cs="宋体"/>
                <w:color w:val="000000"/>
                <w:sz w:val="24"/>
                <w:szCs w:val="24"/>
              </w:rPr>
              <w:t>分</w:t>
            </w:r>
          </w:p>
        </w:tc>
      </w:tr>
    </w:tbl>
    <w:p>
      <w:pPr>
        <w:spacing w:line="580" w:lineRule="exact"/>
        <w:ind w:firstLine="640" w:firstLineChars="200"/>
        <w:jc w:val="left"/>
        <w:rPr>
          <w:rFonts w:ascii="Times New Roman" w:hAnsi="Times New Roman" w:eastAsia="仿宋" w:cs="Times New Roman"/>
          <w:color w:val="000000"/>
          <w:sz w:val="32"/>
          <w:szCs w:val="32"/>
        </w:rPr>
      </w:pPr>
      <w:r>
        <w:rPr>
          <w:rFonts w:hint="eastAsia" w:ascii="Times New Roman" w:hAnsi="Times New Roman" w:eastAsia="仿宋" w:cs="仿宋"/>
          <w:color w:val="000000"/>
          <w:sz w:val="32"/>
          <w:szCs w:val="32"/>
        </w:rPr>
        <w:t>本项指标从福彩销售人均销量、人机比例、合法销售情况三个方面进行评估。目标值的主要依据是《彩票管理条例》及其《实施细则》。评估方式主要是查询被评估县市区的福彩销售情况、投注站终端机数量以及省福彩中心汇总各市州福彩中心上报情况来确定。福彩人均销量（福彩销售总量</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被评估县市区人口数）未高于全省平均水平的，扣</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分；福彩人机比例（县市区市场投注站终端机数量</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被评估县市区人口数）未高于全省平均水平的，扣</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无擅自利用互联网售彩行为</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指实体投注站没有以转借、出租、出售代销证或签订代销合作协议等方式委托任何企业、单位或个人通过互联网销售福利彩票的行为，评估方式为查询省福彩中心汇总的各市州福彩中心上报情况，经查实扣</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w:t>
      </w:r>
    </w:p>
    <w:tbl>
      <w:tblPr>
        <w:tblStyle w:val="7"/>
        <w:tblW w:w="8796"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13"/>
        <w:gridCol w:w="5797"/>
        <w:gridCol w:w="11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813" w:type="dxa"/>
            <w:vAlign w:val="center"/>
          </w:tcPr>
          <w:p>
            <w:pPr>
              <w:spacing w:line="400" w:lineRule="exact"/>
              <w:jc w:val="center"/>
              <w:rPr>
                <w:rFonts w:ascii="Times New Roman" w:hAnsi="Times New Roman" w:cs="Times New Roman"/>
                <w:color w:val="000000"/>
                <w:sz w:val="24"/>
                <w:szCs w:val="24"/>
              </w:rPr>
            </w:pPr>
            <w:r>
              <w:rPr>
                <w:rFonts w:hint="eastAsia" w:ascii="Times New Roman" w:hAnsi="Times New Roman" w:cs="宋体"/>
                <w:color w:val="000000"/>
                <w:sz w:val="24"/>
                <w:szCs w:val="24"/>
              </w:rPr>
              <w:t>（二十六）</w:t>
            </w:r>
          </w:p>
        </w:tc>
        <w:tc>
          <w:tcPr>
            <w:tcW w:w="5797" w:type="dxa"/>
            <w:vAlign w:val="center"/>
          </w:tcPr>
          <w:p>
            <w:pPr>
              <w:spacing w:line="400" w:lineRule="exact"/>
              <w:rPr>
                <w:rFonts w:ascii="Times New Roman" w:hAnsi="Times New Roman" w:cs="Times New Roman"/>
                <w:color w:val="000000"/>
                <w:sz w:val="24"/>
                <w:szCs w:val="24"/>
              </w:rPr>
            </w:pPr>
            <w:r>
              <w:rPr>
                <w:rFonts w:hint="eastAsia" w:ascii="Times New Roman" w:hAnsi="Times New Roman" w:cs="宋体"/>
                <w:color w:val="000000"/>
                <w:sz w:val="24"/>
                <w:szCs w:val="24"/>
              </w:rPr>
              <w:t>社会力量运营的养老床位数占当地养老床位总数的比例超过</w:t>
            </w:r>
            <w:r>
              <w:rPr>
                <w:rFonts w:ascii="Times New Roman" w:hAnsi="Times New Roman" w:cs="Times New Roman"/>
                <w:color w:val="000000"/>
                <w:sz w:val="24"/>
                <w:szCs w:val="24"/>
              </w:rPr>
              <w:t>50%</w:t>
            </w:r>
            <w:r>
              <w:rPr>
                <w:rFonts w:hint="eastAsia" w:ascii="Times New Roman" w:hAnsi="Times New Roman" w:cs="宋体"/>
                <w:color w:val="000000"/>
                <w:sz w:val="24"/>
                <w:szCs w:val="24"/>
              </w:rPr>
              <w:t>；建立民办养老机构建设补贴、运营补贴制度。</w:t>
            </w:r>
          </w:p>
        </w:tc>
        <w:tc>
          <w:tcPr>
            <w:tcW w:w="1186" w:type="dxa"/>
            <w:vAlign w:val="center"/>
          </w:tcPr>
          <w:p>
            <w:pPr>
              <w:spacing w:line="400" w:lineRule="exact"/>
              <w:jc w:val="center"/>
              <w:rPr>
                <w:rFonts w:ascii="Times New Roman" w:hAnsi="Times New Roman" w:cs="Times New Roman"/>
                <w:color w:val="000000"/>
                <w:sz w:val="24"/>
                <w:szCs w:val="24"/>
              </w:rPr>
            </w:pPr>
            <w:r>
              <w:rPr>
                <w:rFonts w:ascii="Times New Roman" w:hAnsi="Times New Roman" w:cs="Times New Roman"/>
                <w:color w:val="000000"/>
                <w:sz w:val="24"/>
                <w:szCs w:val="24"/>
              </w:rPr>
              <w:t>2</w:t>
            </w:r>
            <w:r>
              <w:rPr>
                <w:rFonts w:hint="eastAsia" w:ascii="Times New Roman" w:hAnsi="Times New Roman" w:cs="宋体"/>
                <w:color w:val="000000"/>
                <w:sz w:val="24"/>
                <w:szCs w:val="24"/>
              </w:rPr>
              <w:t>分</w:t>
            </w:r>
          </w:p>
        </w:tc>
      </w:tr>
    </w:tbl>
    <w:p>
      <w:pPr>
        <w:spacing w:line="580" w:lineRule="exact"/>
        <w:ind w:firstLine="640" w:firstLineChars="200"/>
        <w:jc w:val="left"/>
        <w:rPr>
          <w:rFonts w:ascii="Times New Roman" w:hAnsi="Times New Roman" w:eastAsia="仿宋" w:cs="Times New Roman"/>
          <w:color w:val="000000"/>
          <w:kern w:val="0"/>
          <w:sz w:val="32"/>
          <w:szCs w:val="32"/>
        </w:rPr>
      </w:pPr>
      <w:r>
        <w:rPr>
          <w:rFonts w:hint="eastAsia" w:ascii="Times New Roman" w:hAnsi="Times New Roman" w:eastAsia="仿宋" w:cs="仿宋"/>
          <w:color w:val="000000"/>
          <w:sz w:val="32"/>
          <w:szCs w:val="32"/>
        </w:rPr>
        <w:t>本项指标从养老床位比例、民办养老机构补贴等方面进行评估。目标值的主要依据是《民政事业发展第十三个五年规划》、《</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十三五</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国家老龄事业发展和养老体系建设规划》、《湖南省</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十三五</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民政事业发展规划》等政策文件。</w:t>
      </w:r>
      <w:r>
        <w:rPr>
          <w:rFonts w:ascii="Times New Roman" w:hAnsi="Times New Roman" w:eastAsia="仿宋" w:cs="Times New Roman"/>
          <w:color w:val="000000"/>
          <w:kern w:val="0"/>
          <w:sz w:val="32"/>
          <w:szCs w:val="32"/>
        </w:rPr>
        <w:t>“</w:t>
      </w:r>
      <w:r>
        <w:rPr>
          <w:rFonts w:hint="eastAsia" w:ascii="Times New Roman" w:hAnsi="Times New Roman" w:eastAsia="仿宋" w:cs="仿宋"/>
          <w:color w:val="000000"/>
          <w:kern w:val="0"/>
          <w:sz w:val="32"/>
          <w:szCs w:val="32"/>
        </w:rPr>
        <w:t>社会力量运营的养老床位数占当地养老床位总数的比例超过</w:t>
      </w:r>
      <w:r>
        <w:rPr>
          <w:rFonts w:ascii="Times New Roman" w:hAnsi="Times New Roman" w:eastAsia="仿宋" w:cs="Times New Roman"/>
          <w:color w:val="000000"/>
          <w:kern w:val="0"/>
          <w:sz w:val="32"/>
          <w:szCs w:val="32"/>
        </w:rPr>
        <w:t>50%”</w:t>
      </w:r>
      <w:r>
        <w:rPr>
          <w:rFonts w:hint="eastAsia" w:ascii="Times New Roman" w:hAnsi="Times New Roman" w:eastAsia="仿宋" w:cs="仿宋"/>
          <w:color w:val="000000"/>
          <w:kern w:val="0"/>
          <w:sz w:val="32"/>
          <w:szCs w:val="32"/>
        </w:rPr>
        <w:t>占</w:t>
      </w:r>
      <w:r>
        <w:rPr>
          <w:rFonts w:ascii="Times New Roman" w:hAnsi="Times New Roman" w:eastAsia="仿宋" w:cs="Times New Roman"/>
          <w:color w:val="000000"/>
          <w:kern w:val="0"/>
          <w:sz w:val="32"/>
          <w:szCs w:val="32"/>
        </w:rPr>
        <w:t>1</w:t>
      </w:r>
      <w:r>
        <w:rPr>
          <w:rFonts w:hint="eastAsia" w:ascii="Times New Roman" w:hAnsi="Times New Roman" w:eastAsia="仿宋" w:cs="仿宋"/>
          <w:color w:val="000000"/>
          <w:kern w:val="0"/>
          <w:sz w:val="32"/>
          <w:szCs w:val="32"/>
        </w:rPr>
        <w:t>分，评估方式为查阅县市区已经审批成立的民办养老床位数和总床位数等统计资料，指标计算公式为民办养老床位数</w:t>
      </w:r>
      <w:r>
        <w:rPr>
          <w:rFonts w:ascii="Times New Roman" w:hAnsi="Times New Roman" w:eastAsia="仿宋" w:cs="Times New Roman"/>
          <w:color w:val="000000"/>
          <w:kern w:val="0"/>
          <w:sz w:val="32"/>
          <w:szCs w:val="32"/>
        </w:rPr>
        <w:t>/</w:t>
      </w:r>
      <w:r>
        <w:rPr>
          <w:rFonts w:hint="eastAsia" w:ascii="Times New Roman" w:hAnsi="Times New Roman" w:eastAsia="仿宋" w:cs="仿宋"/>
          <w:color w:val="000000"/>
          <w:kern w:val="0"/>
          <w:sz w:val="32"/>
          <w:szCs w:val="32"/>
        </w:rPr>
        <w:t>总床位数</w:t>
      </w:r>
      <w:r>
        <w:rPr>
          <w:rFonts w:ascii="Times New Roman" w:hAnsi="Times New Roman" w:eastAsia="仿宋" w:cs="Times New Roman"/>
          <w:color w:val="000000"/>
          <w:kern w:val="0"/>
          <w:sz w:val="32"/>
          <w:szCs w:val="32"/>
        </w:rPr>
        <w:t>×100%</w:t>
      </w:r>
      <w:r>
        <w:rPr>
          <w:rFonts w:hint="eastAsia" w:ascii="Times New Roman" w:hAnsi="Times New Roman" w:eastAsia="仿宋" w:cs="仿宋"/>
          <w:color w:val="000000"/>
          <w:kern w:val="0"/>
          <w:sz w:val="32"/>
          <w:szCs w:val="32"/>
        </w:rPr>
        <w:t>，每少</w:t>
      </w:r>
      <w:r>
        <w:rPr>
          <w:rFonts w:ascii="Times New Roman" w:hAnsi="Times New Roman" w:eastAsia="仿宋" w:cs="Times New Roman"/>
          <w:color w:val="000000"/>
          <w:kern w:val="0"/>
          <w:sz w:val="32"/>
          <w:szCs w:val="32"/>
        </w:rPr>
        <w:t>1%</w:t>
      </w:r>
      <w:r>
        <w:rPr>
          <w:rFonts w:hint="eastAsia" w:ascii="Times New Roman" w:hAnsi="Times New Roman" w:eastAsia="仿宋" w:cs="仿宋"/>
          <w:color w:val="000000"/>
          <w:kern w:val="0"/>
          <w:sz w:val="32"/>
          <w:szCs w:val="32"/>
        </w:rPr>
        <w:t>扣</w:t>
      </w:r>
      <w:r>
        <w:rPr>
          <w:rFonts w:ascii="Times New Roman" w:hAnsi="Times New Roman" w:eastAsia="仿宋" w:cs="Times New Roman"/>
          <w:color w:val="000000"/>
          <w:kern w:val="0"/>
          <w:sz w:val="32"/>
          <w:szCs w:val="32"/>
        </w:rPr>
        <w:t>0.2</w:t>
      </w:r>
      <w:r>
        <w:rPr>
          <w:rFonts w:hint="eastAsia" w:ascii="Times New Roman" w:hAnsi="Times New Roman" w:eastAsia="仿宋" w:cs="仿宋"/>
          <w:color w:val="000000"/>
          <w:kern w:val="0"/>
          <w:sz w:val="32"/>
          <w:szCs w:val="32"/>
        </w:rPr>
        <w:t>分。</w:t>
      </w:r>
      <w:r>
        <w:rPr>
          <w:rFonts w:ascii="Times New Roman" w:hAnsi="Times New Roman" w:eastAsia="仿宋" w:cs="Times New Roman"/>
          <w:color w:val="000000"/>
          <w:kern w:val="0"/>
          <w:sz w:val="32"/>
          <w:szCs w:val="32"/>
        </w:rPr>
        <w:t>“</w:t>
      </w:r>
      <w:r>
        <w:rPr>
          <w:rFonts w:hint="eastAsia" w:ascii="Times New Roman" w:hAnsi="Times New Roman" w:eastAsia="仿宋" w:cs="仿宋"/>
          <w:color w:val="000000"/>
          <w:kern w:val="0"/>
          <w:sz w:val="32"/>
          <w:szCs w:val="32"/>
        </w:rPr>
        <w:t>建立民办养老机构建设补贴和运营补贴</w:t>
      </w:r>
      <w:r>
        <w:rPr>
          <w:rFonts w:ascii="Times New Roman" w:hAnsi="Times New Roman" w:eastAsia="仿宋" w:cs="Times New Roman"/>
          <w:color w:val="000000"/>
          <w:kern w:val="0"/>
          <w:sz w:val="32"/>
          <w:szCs w:val="32"/>
        </w:rPr>
        <w:t>”</w:t>
      </w:r>
      <w:r>
        <w:rPr>
          <w:rFonts w:hint="eastAsia" w:ascii="Times New Roman" w:hAnsi="Times New Roman" w:eastAsia="仿宋" w:cs="仿宋"/>
          <w:color w:val="000000"/>
          <w:kern w:val="0"/>
          <w:sz w:val="32"/>
          <w:szCs w:val="32"/>
        </w:rPr>
        <w:t>占</w:t>
      </w:r>
      <w:r>
        <w:rPr>
          <w:rFonts w:ascii="Times New Roman" w:hAnsi="Times New Roman" w:eastAsia="仿宋" w:cs="Times New Roman"/>
          <w:color w:val="000000"/>
          <w:kern w:val="0"/>
          <w:sz w:val="32"/>
          <w:szCs w:val="32"/>
        </w:rPr>
        <w:t>1</w:t>
      </w:r>
      <w:r>
        <w:rPr>
          <w:rFonts w:hint="eastAsia" w:ascii="Times New Roman" w:hAnsi="Times New Roman" w:eastAsia="仿宋" w:cs="仿宋"/>
          <w:color w:val="000000"/>
          <w:kern w:val="0"/>
          <w:sz w:val="32"/>
          <w:szCs w:val="32"/>
        </w:rPr>
        <w:t>分，评估方式为出台的民办养老机构运营补贴文件和民政、财政的资金拨付文件以及到养老机构的调查核实情况予以确定，没有建立民办养老机构建设和运营补贴制度的各扣</w:t>
      </w:r>
      <w:r>
        <w:rPr>
          <w:rFonts w:ascii="Times New Roman" w:hAnsi="Times New Roman" w:eastAsia="仿宋" w:cs="Times New Roman"/>
          <w:color w:val="000000"/>
          <w:kern w:val="0"/>
          <w:sz w:val="32"/>
          <w:szCs w:val="32"/>
        </w:rPr>
        <w:t>0.5</w:t>
      </w:r>
      <w:r>
        <w:rPr>
          <w:rFonts w:hint="eastAsia" w:ascii="Times New Roman" w:hAnsi="Times New Roman" w:eastAsia="仿宋" w:cs="仿宋"/>
          <w:color w:val="000000"/>
          <w:kern w:val="0"/>
          <w:sz w:val="32"/>
          <w:szCs w:val="32"/>
        </w:rPr>
        <w:t>分。</w:t>
      </w:r>
    </w:p>
    <w:tbl>
      <w:tblPr>
        <w:tblStyle w:val="7"/>
        <w:tblW w:w="8925"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32"/>
        <w:gridCol w:w="6277"/>
        <w:gridCol w:w="11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7" w:hRule="atLeast"/>
          <w:jc w:val="center"/>
        </w:trPr>
        <w:tc>
          <w:tcPr>
            <w:tcW w:w="1532" w:type="dxa"/>
            <w:vAlign w:val="center"/>
          </w:tcPr>
          <w:p>
            <w:pPr>
              <w:spacing w:line="400" w:lineRule="exact"/>
              <w:jc w:val="center"/>
              <w:rPr>
                <w:rFonts w:ascii="Times New Roman" w:hAnsi="Times New Roman" w:cs="Times New Roman"/>
                <w:color w:val="000000"/>
                <w:sz w:val="24"/>
                <w:szCs w:val="24"/>
              </w:rPr>
            </w:pPr>
            <w:r>
              <w:rPr>
                <w:rFonts w:hint="eastAsia" w:ascii="Times New Roman" w:hAnsi="Times New Roman" w:cs="宋体"/>
                <w:color w:val="000000"/>
                <w:sz w:val="24"/>
                <w:szCs w:val="24"/>
              </w:rPr>
              <w:t>（二十七）</w:t>
            </w:r>
          </w:p>
        </w:tc>
        <w:tc>
          <w:tcPr>
            <w:tcW w:w="6277" w:type="dxa"/>
            <w:vAlign w:val="center"/>
          </w:tcPr>
          <w:p>
            <w:pPr>
              <w:spacing w:line="400" w:lineRule="exact"/>
              <w:rPr>
                <w:rFonts w:ascii="Times New Roman" w:hAnsi="Times New Roman" w:cs="Times New Roman"/>
                <w:color w:val="000000"/>
                <w:sz w:val="24"/>
                <w:szCs w:val="24"/>
              </w:rPr>
            </w:pPr>
            <w:r>
              <w:rPr>
                <w:rFonts w:hint="eastAsia" w:ascii="Times New Roman" w:hAnsi="Times New Roman" w:cs="宋体"/>
                <w:color w:val="000000"/>
                <w:sz w:val="24"/>
                <w:szCs w:val="24"/>
              </w:rPr>
              <w:t>建设社区（村）慈善超市</w:t>
            </w:r>
            <w:r>
              <w:rPr>
                <w:rFonts w:ascii="Times New Roman" w:hAnsi="Times New Roman" w:cs="Times New Roman"/>
                <w:color w:val="000000"/>
                <w:sz w:val="24"/>
                <w:szCs w:val="24"/>
              </w:rPr>
              <w:t>3</w:t>
            </w:r>
            <w:r>
              <w:rPr>
                <w:rFonts w:hint="eastAsia" w:ascii="Times New Roman" w:hAnsi="Times New Roman" w:cs="宋体"/>
                <w:color w:val="000000"/>
                <w:sz w:val="24"/>
                <w:szCs w:val="24"/>
              </w:rPr>
              <w:t>家以上，并保证正常运行。开展</w:t>
            </w:r>
            <w:r>
              <w:rPr>
                <w:rFonts w:ascii="Times New Roman" w:hAnsi="Times New Roman" w:cs="Times New Roman"/>
                <w:color w:val="000000"/>
                <w:sz w:val="24"/>
                <w:szCs w:val="24"/>
              </w:rPr>
              <w:t>“</w:t>
            </w:r>
            <w:r>
              <w:rPr>
                <w:rFonts w:hint="eastAsia" w:ascii="Times New Roman" w:hAnsi="Times New Roman" w:cs="宋体"/>
                <w:color w:val="000000"/>
                <w:sz w:val="24"/>
                <w:szCs w:val="24"/>
              </w:rPr>
              <w:t>中华慈善日</w:t>
            </w:r>
            <w:r>
              <w:rPr>
                <w:rFonts w:ascii="Times New Roman" w:hAnsi="Times New Roman" w:cs="Times New Roman"/>
                <w:color w:val="000000"/>
                <w:sz w:val="24"/>
                <w:szCs w:val="24"/>
              </w:rPr>
              <w:t>”</w:t>
            </w:r>
            <w:r>
              <w:rPr>
                <w:rFonts w:hint="eastAsia" w:ascii="Times New Roman" w:hAnsi="Times New Roman" w:cs="宋体"/>
                <w:color w:val="000000"/>
                <w:sz w:val="24"/>
                <w:szCs w:val="24"/>
              </w:rPr>
              <w:t>等慈善文化宣传活动。</w:t>
            </w:r>
          </w:p>
        </w:tc>
        <w:tc>
          <w:tcPr>
            <w:tcW w:w="1116" w:type="dxa"/>
            <w:vAlign w:val="center"/>
          </w:tcPr>
          <w:p>
            <w:pPr>
              <w:spacing w:line="400" w:lineRule="exact"/>
              <w:jc w:val="center"/>
              <w:rPr>
                <w:rFonts w:ascii="Times New Roman" w:hAnsi="Times New Roman" w:cs="Times New Roman"/>
                <w:color w:val="000000"/>
                <w:sz w:val="24"/>
                <w:szCs w:val="24"/>
              </w:rPr>
            </w:pPr>
            <w:r>
              <w:rPr>
                <w:rFonts w:ascii="Times New Roman" w:hAnsi="Times New Roman" w:cs="Times New Roman"/>
                <w:color w:val="000000"/>
                <w:sz w:val="24"/>
                <w:szCs w:val="24"/>
              </w:rPr>
              <w:t>2</w:t>
            </w:r>
            <w:r>
              <w:rPr>
                <w:rFonts w:hint="eastAsia" w:ascii="Times New Roman" w:hAnsi="Times New Roman" w:cs="宋体"/>
                <w:color w:val="000000"/>
                <w:sz w:val="24"/>
                <w:szCs w:val="24"/>
              </w:rPr>
              <w:t>分</w:t>
            </w:r>
          </w:p>
        </w:tc>
      </w:tr>
    </w:tbl>
    <w:p>
      <w:pPr>
        <w:spacing w:line="580" w:lineRule="exact"/>
        <w:ind w:firstLine="640" w:firstLineChars="200"/>
        <w:rPr>
          <w:rFonts w:ascii="Times New Roman" w:hAnsi="Times New Roman" w:eastAsia="仿宋" w:cs="Times New Roman"/>
          <w:color w:val="000000"/>
          <w:sz w:val="32"/>
          <w:szCs w:val="32"/>
        </w:rPr>
      </w:pPr>
      <w:r>
        <w:rPr>
          <w:rFonts w:hint="eastAsia" w:ascii="Times New Roman" w:hAnsi="Times New Roman" w:eastAsia="仿宋" w:cs="仿宋"/>
          <w:color w:val="000000"/>
          <w:sz w:val="32"/>
          <w:szCs w:val="32"/>
        </w:rPr>
        <w:t>本项指标包括社会捐助站点建设、慈善超市建设和慈善文化宣传情况三项内容。目标值的确定依据包括《慈善法》《湖南省募捐条例》等法律法规以及民政部《关于加强和创新慈善超市建设的意见》、省人民政府《关于促进慈善事业健康发展的实施意见》、《湖南省</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十三五</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民政事业发展规划》等政策文件。</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建设社区（村）慈善超市</w:t>
      </w:r>
      <w:r>
        <w:rPr>
          <w:rFonts w:ascii="Times New Roman" w:hAnsi="Times New Roman" w:eastAsia="仿宋" w:cs="Times New Roman"/>
          <w:color w:val="000000"/>
          <w:sz w:val="32"/>
          <w:szCs w:val="32"/>
        </w:rPr>
        <w:t>3</w:t>
      </w:r>
      <w:r>
        <w:rPr>
          <w:rFonts w:hint="eastAsia" w:ascii="Times New Roman" w:hAnsi="Times New Roman" w:eastAsia="仿宋" w:cs="仿宋"/>
          <w:color w:val="000000"/>
          <w:sz w:val="32"/>
          <w:szCs w:val="32"/>
        </w:rPr>
        <w:t>家以上，并保证正常运行</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占</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分，评估方式为对照省里的任务指标和建设标准进行实地评估，各市县区未按时完成或者少建设一家扣</w:t>
      </w:r>
      <w:r>
        <w:rPr>
          <w:rFonts w:ascii="Times New Roman" w:hAnsi="Times New Roman" w:eastAsia="仿宋" w:cs="Times New Roman"/>
          <w:color w:val="000000"/>
          <w:sz w:val="32"/>
          <w:szCs w:val="32"/>
        </w:rPr>
        <w:t>0.4</w:t>
      </w:r>
      <w:r>
        <w:rPr>
          <w:rFonts w:hint="eastAsia" w:ascii="Times New Roman" w:hAnsi="Times New Roman" w:eastAsia="仿宋" w:cs="仿宋"/>
          <w:color w:val="000000"/>
          <w:sz w:val="32"/>
          <w:szCs w:val="32"/>
        </w:rPr>
        <w:t>分，扣完</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分为止。开展</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中华慈善日</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等慈善文化宣传活动占</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分，评估方式为查询被评估县市区开展</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中华慈善日</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等慈善文化宣传活动的宣传方案、海报、新闻报道等资料，未开展的扣</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分。</w:t>
      </w:r>
    </w:p>
    <w:tbl>
      <w:tblPr>
        <w:tblStyle w:val="7"/>
        <w:tblW w:w="875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1"/>
        <w:gridCol w:w="6176"/>
        <w:gridCol w:w="8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701" w:type="dxa"/>
            <w:vAlign w:val="center"/>
          </w:tcPr>
          <w:p>
            <w:pPr>
              <w:spacing w:line="400" w:lineRule="exact"/>
              <w:jc w:val="center"/>
              <w:rPr>
                <w:rFonts w:ascii="Times New Roman" w:hAnsi="Times New Roman" w:cs="Times New Roman"/>
                <w:color w:val="000000"/>
                <w:sz w:val="24"/>
                <w:szCs w:val="24"/>
              </w:rPr>
            </w:pPr>
            <w:r>
              <w:rPr>
                <w:rFonts w:hint="eastAsia" w:ascii="Times New Roman" w:hAnsi="Times New Roman" w:cs="宋体"/>
                <w:color w:val="000000"/>
                <w:sz w:val="24"/>
                <w:szCs w:val="24"/>
              </w:rPr>
              <w:t>（二十八）</w:t>
            </w:r>
          </w:p>
        </w:tc>
        <w:tc>
          <w:tcPr>
            <w:tcW w:w="6176" w:type="dxa"/>
            <w:vAlign w:val="center"/>
          </w:tcPr>
          <w:p>
            <w:pPr>
              <w:spacing w:line="400" w:lineRule="exact"/>
              <w:rPr>
                <w:rFonts w:ascii="Times New Roman" w:hAnsi="Times New Roman" w:cs="Times New Roman"/>
                <w:color w:val="000000"/>
                <w:sz w:val="24"/>
                <w:szCs w:val="24"/>
              </w:rPr>
            </w:pPr>
            <w:r>
              <w:rPr>
                <w:rFonts w:hint="eastAsia" w:ascii="Times New Roman" w:hAnsi="Times New Roman" w:cs="宋体"/>
                <w:color w:val="000000"/>
                <w:sz w:val="24"/>
                <w:szCs w:val="24"/>
              </w:rPr>
              <w:t>在社会救助、社会福利、养老服务、残疾人服务、社区建设、社会组织管理、社工服务、慈善救济等领域开展政府购买服务。</w:t>
            </w:r>
          </w:p>
        </w:tc>
        <w:tc>
          <w:tcPr>
            <w:tcW w:w="875" w:type="dxa"/>
            <w:vAlign w:val="center"/>
          </w:tcPr>
          <w:p>
            <w:pPr>
              <w:spacing w:line="400" w:lineRule="exact"/>
              <w:jc w:val="center"/>
              <w:rPr>
                <w:rFonts w:ascii="Times New Roman" w:hAnsi="Times New Roman" w:cs="Times New Roman"/>
                <w:color w:val="000000"/>
                <w:sz w:val="24"/>
                <w:szCs w:val="24"/>
              </w:rPr>
            </w:pPr>
            <w:r>
              <w:rPr>
                <w:rFonts w:ascii="Times New Roman" w:hAnsi="Times New Roman" w:cs="Times New Roman"/>
                <w:color w:val="000000"/>
                <w:sz w:val="24"/>
                <w:szCs w:val="24"/>
              </w:rPr>
              <w:t>2</w:t>
            </w:r>
            <w:r>
              <w:rPr>
                <w:rFonts w:hint="eastAsia" w:ascii="Times New Roman" w:hAnsi="Times New Roman" w:cs="宋体"/>
                <w:color w:val="000000"/>
                <w:sz w:val="24"/>
                <w:szCs w:val="24"/>
              </w:rPr>
              <w:t>分</w:t>
            </w:r>
          </w:p>
        </w:tc>
      </w:tr>
    </w:tbl>
    <w:p>
      <w:pPr>
        <w:spacing w:line="596" w:lineRule="exact"/>
        <w:ind w:firstLine="640" w:firstLineChars="200"/>
        <w:rPr>
          <w:rFonts w:ascii="Times New Roman" w:hAnsi="Times New Roman" w:eastAsia="仿宋" w:cs="Times New Roman"/>
          <w:color w:val="000000"/>
          <w:sz w:val="32"/>
          <w:szCs w:val="32"/>
        </w:rPr>
      </w:pPr>
      <w:r>
        <w:rPr>
          <w:rFonts w:hint="eastAsia" w:ascii="Times New Roman" w:hAnsi="Times New Roman" w:eastAsia="仿宋" w:cs="仿宋"/>
          <w:color w:val="000000"/>
          <w:sz w:val="32"/>
          <w:szCs w:val="32"/>
        </w:rPr>
        <w:t>本项指标主要对民政领域推进政府购买服务的情况进行评估。目标值的确定依据主要是《国务院办公厅关于政府向社会力量购买服务的指导意见》、《财政部、民政部关于通过政府购买服务支持社会组织培育发展的指导意见》和《湖南省人民政府关于推进政府购买服务工作的实施意见》。本项指标要求在社会组织、</w:t>
      </w:r>
      <w:r>
        <w:rPr>
          <w:rFonts w:hint="eastAsia" w:ascii="Times New Roman" w:hAnsi="Times New Roman" w:eastAsia="仿宋" w:cs="仿宋"/>
          <w:color w:val="000000"/>
          <w:spacing w:val="-5"/>
          <w:sz w:val="32"/>
          <w:szCs w:val="32"/>
        </w:rPr>
        <w:t>社会救助等</w:t>
      </w:r>
      <w:r>
        <w:rPr>
          <w:rFonts w:ascii="Times New Roman" w:hAnsi="Times New Roman" w:eastAsia="仿宋" w:cs="Times New Roman"/>
          <w:color w:val="000000"/>
          <w:spacing w:val="-5"/>
          <w:sz w:val="32"/>
          <w:szCs w:val="32"/>
        </w:rPr>
        <w:t>8</w:t>
      </w:r>
      <w:r>
        <w:rPr>
          <w:rFonts w:hint="eastAsia" w:ascii="Times New Roman" w:hAnsi="Times New Roman" w:eastAsia="仿宋" w:cs="仿宋"/>
          <w:color w:val="000000"/>
          <w:spacing w:val="-5"/>
          <w:sz w:val="32"/>
          <w:szCs w:val="32"/>
        </w:rPr>
        <w:t>个领域都要开展政府购买服务，评估方式主要是查阅相关领域的购买服务合同并核实合同履行情况。凡年度在社会救助、社会福利、养老服务、残疾人服务、社区建设、社会组织管理、社工服务、慈善救济等</w:t>
      </w:r>
      <w:r>
        <w:rPr>
          <w:rFonts w:ascii="Times New Roman" w:hAnsi="Times New Roman" w:eastAsia="仿宋" w:cs="Times New Roman"/>
          <w:color w:val="000000"/>
          <w:spacing w:val="-5"/>
          <w:sz w:val="32"/>
          <w:szCs w:val="32"/>
        </w:rPr>
        <w:t>8</w:t>
      </w:r>
      <w:r>
        <w:rPr>
          <w:rFonts w:hint="eastAsia" w:ascii="Times New Roman" w:hAnsi="Times New Roman" w:eastAsia="仿宋" w:cs="仿宋"/>
          <w:color w:val="000000"/>
          <w:spacing w:val="-5"/>
          <w:sz w:val="32"/>
          <w:szCs w:val="32"/>
        </w:rPr>
        <w:t>个民政公共服务领域，有未开展政府购买服务试点的，每个未开展的领域扣</w:t>
      </w:r>
      <w:r>
        <w:rPr>
          <w:rFonts w:ascii="Times New Roman" w:hAnsi="Times New Roman" w:eastAsia="仿宋" w:cs="Times New Roman"/>
          <w:color w:val="000000"/>
          <w:spacing w:val="-5"/>
          <w:sz w:val="32"/>
          <w:szCs w:val="32"/>
        </w:rPr>
        <w:t>0.3</w:t>
      </w:r>
      <w:r>
        <w:rPr>
          <w:rFonts w:hint="eastAsia" w:ascii="Times New Roman" w:hAnsi="Times New Roman" w:eastAsia="仿宋" w:cs="仿宋"/>
          <w:color w:val="000000"/>
          <w:spacing w:val="-5"/>
          <w:sz w:val="32"/>
          <w:szCs w:val="32"/>
        </w:rPr>
        <w:t>分，扣完</w:t>
      </w:r>
      <w:r>
        <w:rPr>
          <w:rFonts w:ascii="Times New Roman" w:hAnsi="Times New Roman" w:eastAsia="仿宋" w:cs="Times New Roman"/>
          <w:color w:val="000000"/>
          <w:spacing w:val="-5"/>
          <w:sz w:val="32"/>
          <w:szCs w:val="32"/>
        </w:rPr>
        <w:t>2</w:t>
      </w:r>
      <w:r>
        <w:rPr>
          <w:rFonts w:hint="eastAsia" w:ascii="Times New Roman" w:hAnsi="Times New Roman" w:eastAsia="仿宋" w:cs="仿宋"/>
          <w:color w:val="000000"/>
          <w:spacing w:val="-5"/>
          <w:sz w:val="32"/>
          <w:szCs w:val="32"/>
        </w:rPr>
        <w:t>分为止。</w:t>
      </w:r>
    </w:p>
    <w:p>
      <w:pPr>
        <w:spacing w:line="580" w:lineRule="exact"/>
        <w:ind w:firstLine="643" w:firstLineChars="200"/>
        <w:rPr>
          <w:rFonts w:ascii="楷体_GB2312" w:hAnsi="Times New Roman" w:eastAsia="楷体_GB2312" w:cs="Times New Roman"/>
          <w:b/>
          <w:bCs/>
          <w:color w:val="000000"/>
          <w:sz w:val="32"/>
          <w:szCs w:val="32"/>
        </w:rPr>
      </w:pPr>
      <w:r>
        <w:rPr>
          <w:rFonts w:hint="eastAsia" w:ascii="楷体_GB2312" w:hAnsi="Times New Roman" w:eastAsia="楷体_GB2312" w:cs="楷体_GB2312"/>
          <w:b/>
          <w:bCs/>
          <w:color w:val="000000"/>
          <w:sz w:val="32"/>
          <w:szCs w:val="32"/>
        </w:rPr>
        <w:t>（六）特殊指标</w:t>
      </w:r>
    </w:p>
    <w:tbl>
      <w:tblPr>
        <w:tblStyle w:val="7"/>
        <w:tblW w:w="892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40"/>
        <w:gridCol w:w="5361"/>
        <w:gridCol w:w="22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340" w:type="dxa"/>
            <w:vAlign w:val="center"/>
          </w:tcPr>
          <w:p>
            <w:pPr>
              <w:spacing w:line="400" w:lineRule="exact"/>
              <w:jc w:val="center"/>
              <w:rPr>
                <w:rFonts w:ascii="Times New Roman" w:hAnsi="Times New Roman" w:cs="Times New Roman"/>
                <w:color w:val="000000"/>
                <w:sz w:val="24"/>
                <w:szCs w:val="24"/>
              </w:rPr>
            </w:pPr>
            <w:r>
              <w:rPr>
                <w:rFonts w:hint="eastAsia" w:ascii="Times New Roman" w:hAnsi="Times New Roman" w:cs="宋体"/>
                <w:color w:val="000000"/>
                <w:sz w:val="24"/>
                <w:szCs w:val="24"/>
              </w:rPr>
              <w:t>（二十九）</w:t>
            </w:r>
          </w:p>
        </w:tc>
        <w:tc>
          <w:tcPr>
            <w:tcW w:w="5361" w:type="dxa"/>
            <w:vAlign w:val="center"/>
          </w:tcPr>
          <w:p>
            <w:pPr>
              <w:spacing w:line="400" w:lineRule="exact"/>
              <w:rPr>
                <w:rFonts w:ascii="Times New Roman" w:hAnsi="Times New Roman" w:cs="Times New Roman"/>
                <w:color w:val="000000"/>
                <w:sz w:val="24"/>
                <w:szCs w:val="24"/>
              </w:rPr>
            </w:pPr>
            <w:r>
              <w:rPr>
                <w:rFonts w:hint="eastAsia" w:ascii="Times New Roman" w:hAnsi="Times New Roman" w:cs="宋体"/>
                <w:color w:val="000000"/>
                <w:sz w:val="24"/>
                <w:szCs w:val="24"/>
              </w:rPr>
              <w:t>成效显著，综合或单项工作获得国家、省部领导肯定批示；在国家、省部会议上作经验介绍</w:t>
            </w:r>
          </w:p>
        </w:tc>
        <w:tc>
          <w:tcPr>
            <w:tcW w:w="2219" w:type="dxa"/>
            <w:vAlign w:val="center"/>
          </w:tcPr>
          <w:p>
            <w:pPr>
              <w:spacing w:line="400" w:lineRule="exact"/>
              <w:jc w:val="left"/>
              <w:rPr>
                <w:rFonts w:ascii="Times New Roman" w:hAnsi="Times New Roman" w:cs="Times New Roman"/>
                <w:color w:val="000000"/>
                <w:sz w:val="24"/>
                <w:szCs w:val="24"/>
              </w:rPr>
            </w:pPr>
            <w:r>
              <w:rPr>
                <w:rFonts w:hint="eastAsia" w:ascii="Times New Roman" w:hAnsi="Times New Roman" w:cs="宋体"/>
                <w:color w:val="000000"/>
                <w:sz w:val="24"/>
                <w:szCs w:val="24"/>
              </w:rPr>
              <w:t>在</w:t>
            </w:r>
            <w:r>
              <w:rPr>
                <w:rFonts w:ascii="Times New Roman" w:hAnsi="Times New Roman" w:cs="Times New Roman"/>
                <w:color w:val="000000"/>
                <w:sz w:val="24"/>
                <w:szCs w:val="24"/>
              </w:rPr>
              <w:t>100</w:t>
            </w:r>
            <w:r>
              <w:rPr>
                <w:rFonts w:hint="eastAsia" w:ascii="Times New Roman" w:hAnsi="Times New Roman" w:cs="宋体"/>
                <w:color w:val="000000"/>
                <w:sz w:val="24"/>
                <w:szCs w:val="24"/>
              </w:rPr>
              <w:t>分外，国家级加</w:t>
            </w:r>
            <w:r>
              <w:rPr>
                <w:rFonts w:ascii="Times New Roman" w:hAnsi="Times New Roman" w:cs="Times New Roman"/>
                <w:color w:val="000000"/>
                <w:sz w:val="24"/>
                <w:szCs w:val="24"/>
              </w:rPr>
              <w:t>10</w:t>
            </w:r>
            <w:r>
              <w:rPr>
                <w:rFonts w:hint="eastAsia" w:ascii="Times New Roman" w:hAnsi="Times New Roman" w:cs="宋体"/>
                <w:color w:val="000000"/>
                <w:sz w:val="24"/>
                <w:szCs w:val="24"/>
              </w:rPr>
              <w:t>分，省部级加</w:t>
            </w:r>
            <w:r>
              <w:rPr>
                <w:rFonts w:ascii="Times New Roman" w:hAnsi="Times New Roman" w:cs="Times New Roman"/>
                <w:color w:val="000000"/>
                <w:sz w:val="24"/>
                <w:szCs w:val="24"/>
              </w:rPr>
              <w:t>5</w:t>
            </w:r>
            <w:r>
              <w:rPr>
                <w:rFonts w:hint="eastAsia" w:ascii="Times New Roman" w:hAnsi="Times New Roman" w:cs="宋体"/>
                <w:color w:val="000000"/>
                <w:sz w:val="24"/>
                <w:szCs w:val="24"/>
              </w:rPr>
              <w:t>分。</w:t>
            </w:r>
          </w:p>
        </w:tc>
      </w:tr>
    </w:tbl>
    <w:p>
      <w:pPr>
        <w:spacing w:line="596" w:lineRule="exact"/>
        <w:ind w:firstLine="620" w:firstLineChars="200"/>
        <w:rPr>
          <w:rFonts w:ascii="Times New Roman" w:hAnsi="Times New Roman" w:eastAsia="黑体" w:cs="Times New Roman"/>
          <w:color w:val="000000"/>
          <w:sz w:val="32"/>
          <w:szCs w:val="32"/>
        </w:rPr>
      </w:pPr>
      <w:r>
        <w:rPr>
          <w:rFonts w:hint="eastAsia" w:ascii="Times New Roman" w:hAnsi="Times New Roman" w:eastAsia="仿宋" w:cs="仿宋"/>
          <w:color w:val="000000"/>
          <w:spacing w:val="-5"/>
          <w:sz w:val="32"/>
          <w:szCs w:val="32"/>
        </w:rPr>
        <w:t>本项指标从领导批示和经验推介两个方面对民政工作创新创优能力进行评估。指标的评估方式主要是根据被评估县市区民政局提供的国家、省部领导批示件和国家、省部印发的材料进行评估。县市区民政部门改革创新的经验与做法，综合或单项工作获得中央领导肯定批示的，或者在中央召开的会议、印发的文件等形式加以推广或者表彰的，加</w:t>
      </w:r>
      <w:r>
        <w:rPr>
          <w:rFonts w:ascii="Times New Roman" w:hAnsi="Times New Roman" w:eastAsia="仿宋" w:cs="Times New Roman"/>
          <w:color w:val="000000"/>
          <w:spacing w:val="-5"/>
          <w:sz w:val="32"/>
          <w:szCs w:val="32"/>
        </w:rPr>
        <w:t>10</w:t>
      </w:r>
      <w:r>
        <w:rPr>
          <w:rFonts w:hint="eastAsia" w:ascii="Times New Roman" w:hAnsi="Times New Roman" w:eastAsia="仿宋" w:cs="仿宋"/>
          <w:color w:val="000000"/>
          <w:spacing w:val="-5"/>
          <w:sz w:val="32"/>
          <w:szCs w:val="32"/>
        </w:rPr>
        <w:t>分；获得省委、省政府、民政部领导肯定批示的，或者在省委、省政府、民政部召开的会议、印发的文件等形式加以推广或者表彰的，加</w:t>
      </w:r>
      <w:r>
        <w:rPr>
          <w:rFonts w:ascii="Times New Roman" w:hAnsi="Times New Roman" w:eastAsia="仿宋" w:cs="Times New Roman"/>
          <w:color w:val="000000"/>
          <w:spacing w:val="-5"/>
          <w:sz w:val="32"/>
          <w:szCs w:val="32"/>
        </w:rPr>
        <w:t>5</w:t>
      </w:r>
      <w:r>
        <w:rPr>
          <w:rFonts w:hint="eastAsia" w:ascii="Times New Roman" w:hAnsi="Times New Roman" w:eastAsia="仿宋" w:cs="仿宋"/>
          <w:color w:val="000000"/>
          <w:spacing w:val="-5"/>
          <w:sz w:val="32"/>
          <w:szCs w:val="32"/>
        </w:rPr>
        <w:t>分。同一项工作获得不同层级肯定的，仅计算最高层级的加分。此项分值上限为</w:t>
      </w:r>
      <w:r>
        <w:rPr>
          <w:rFonts w:ascii="Times New Roman" w:hAnsi="Times New Roman" w:eastAsia="仿宋" w:cs="Times New Roman"/>
          <w:color w:val="000000"/>
          <w:spacing w:val="-5"/>
          <w:sz w:val="32"/>
          <w:szCs w:val="32"/>
        </w:rPr>
        <w:t>10</w:t>
      </w:r>
      <w:r>
        <w:rPr>
          <w:rFonts w:hint="eastAsia" w:ascii="Times New Roman" w:hAnsi="Times New Roman" w:eastAsia="仿宋" w:cs="仿宋"/>
          <w:color w:val="000000"/>
          <w:spacing w:val="-5"/>
          <w:sz w:val="32"/>
          <w:szCs w:val="32"/>
        </w:rPr>
        <w:t>分。</w:t>
      </w:r>
    </w:p>
    <w:tbl>
      <w:tblPr>
        <w:tblStyle w:val="7"/>
        <w:tblW w:w="8819"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89"/>
        <w:gridCol w:w="5921"/>
        <w:gridCol w:w="16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1" w:hRule="atLeast"/>
          <w:jc w:val="center"/>
        </w:trPr>
        <w:tc>
          <w:tcPr>
            <w:tcW w:w="1289" w:type="dxa"/>
            <w:vAlign w:val="center"/>
          </w:tcPr>
          <w:p>
            <w:pPr>
              <w:spacing w:line="400" w:lineRule="exact"/>
              <w:jc w:val="center"/>
              <w:rPr>
                <w:rFonts w:ascii="Times New Roman" w:hAnsi="Times New Roman" w:cs="Times New Roman"/>
                <w:color w:val="000000"/>
                <w:sz w:val="24"/>
                <w:szCs w:val="24"/>
              </w:rPr>
            </w:pPr>
            <w:r>
              <w:rPr>
                <w:rFonts w:hint="eastAsia" w:ascii="Times New Roman" w:hAnsi="Times New Roman" w:cs="宋体"/>
                <w:color w:val="000000"/>
                <w:sz w:val="24"/>
                <w:szCs w:val="24"/>
              </w:rPr>
              <w:t>（三十）</w:t>
            </w:r>
          </w:p>
        </w:tc>
        <w:tc>
          <w:tcPr>
            <w:tcW w:w="5921" w:type="dxa"/>
            <w:vAlign w:val="center"/>
          </w:tcPr>
          <w:p>
            <w:pPr>
              <w:spacing w:line="400" w:lineRule="exact"/>
              <w:rPr>
                <w:rFonts w:ascii="Times New Roman" w:hAnsi="Times New Roman" w:cs="Times New Roman"/>
                <w:color w:val="000000"/>
                <w:sz w:val="24"/>
                <w:szCs w:val="24"/>
              </w:rPr>
            </w:pPr>
            <w:r>
              <w:rPr>
                <w:rFonts w:hint="eastAsia" w:ascii="Times New Roman" w:hAnsi="Times New Roman" w:cs="宋体"/>
                <w:color w:val="000000"/>
                <w:sz w:val="24"/>
                <w:szCs w:val="24"/>
              </w:rPr>
              <w:t>出现安全生产、信访维稳、重大舆情和廉政建设等重大问题的。</w:t>
            </w:r>
          </w:p>
        </w:tc>
        <w:tc>
          <w:tcPr>
            <w:tcW w:w="1609" w:type="dxa"/>
            <w:vAlign w:val="center"/>
          </w:tcPr>
          <w:p>
            <w:pPr>
              <w:spacing w:line="400" w:lineRule="exact"/>
              <w:jc w:val="center"/>
              <w:rPr>
                <w:rFonts w:ascii="Times New Roman" w:hAnsi="Times New Roman" w:cs="Times New Roman"/>
                <w:color w:val="000000"/>
                <w:sz w:val="24"/>
                <w:szCs w:val="24"/>
              </w:rPr>
            </w:pPr>
            <w:r>
              <w:rPr>
                <w:rFonts w:hint="eastAsia" w:ascii="Times New Roman" w:hAnsi="Times New Roman" w:cs="宋体"/>
                <w:color w:val="000000"/>
                <w:sz w:val="24"/>
                <w:szCs w:val="24"/>
              </w:rPr>
              <w:t>每项扣</w:t>
            </w:r>
            <w:r>
              <w:rPr>
                <w:rFonts w:ascii="Times New Roman" w:hAnsi="Times New Roman" w:cs="Times New Roman"/>
                <w:color w:val="000000"/>
                <w:sz w:val="24"/>
                <w:szCs w:val="24"/>
              </w:rPr>
              <w:t>30</w:t>
            </w:r>
            <w:r>
              <w:rPr>
                <w:rFonts w:hint="eastAsia" w:ascii="Times New Roman" w:hAnsi="Times New Roman" w:cs="宋体"/>
                <w:color w:val="000000"/>
                <w:sz w:val="24"/>
                <w:szCs w:val="24"/>
              </w:rPr>
              <w:t>分</w:t>
            </w:r>
          </w:p>
        </w:tc>
      </w:tr>
    </w:tbl>
    <w:p>
      <w:pPr>
        <w:spacing w:line="596" w:lineRule="exact"/>
        <w:ind w:firstLine="620" w:firstLineChars="200"/>
        <w:rPr>
          <w:rFonts w:ascii="Times New Roman" w:hAnsi="Times New Roman" w:eastAsia="仿宋" w:cs="Times New Roman"/>
          <w:color w:val="000000"/>
          <w:sz w:val="32"/>
          <w:szCs w:val="32"/>
        </w:rPr>
      </w:pPr>
      <w:r>
        <w:rPr>
          <w:rFonts w:hint="eastAsia" w:ascii="Times New Roman" w:hAnsi="Times New Roman" w:eastAsia="仿宋" w:cs="仿宋"/>
          <w:color w:val="000000"/>
          <w:spacing w:val="-5"/>
          <w:sz w:val="32"/>
          <w:szCs w:val="32"/>
        </w:rPr>
        <w:t>本项指标设定了四种特别扣分项情形。本指标的安全生产问题，是指辖区内出现民政领域（局机关及直属单位、民政设施）的一般安全生产事故以上的事项，目标值的确定依据是《中共中央国务院关于推进安全生产领域改革发展的意见》，扣</w:t>
      </w:r>
      <w:r>
        <w:rPr>
          <w:rFonts w:ascii="Times New Roman" w:hAnsi="Times New Roman" w:eastAsia="仿宋" w:cs="Times New Roman"/>
          <w:color w:val="000000"/>
          <w:spacing w:val="-5"/>
          <w:sz w:val="32"/>
          <w:szCs w:val="32"/>
        </w:rPr>
        <w:t>30</w:t>
      </w:r>
      <w:r>
        <w:rPr>
          <w:rFonts w:hint="eastAsia" w:ascii="Times New Roman" w:hAnsi="Times New Roman" w:eastAsia="仿宋" w:cs="仿宋"/>
          <w:color w:val="000000"/>
          <w:spacing w:val="-5"/>
          <w:sz w:val="32"/>
          <w:szCs w:val="32"/>
        </w:rPr>
        <w:t>分。本指标的信访维稳问题，是指非正常进京赴省上访，目标值的确定依据是中共中央办公厅、国务院办公厅印发的《信访工作责任制实施办法》、《湖南省信访工作责任追究办法》，指标的评估方式主要是根据中央和省里反馈的被评估县市区涉及民政工作的非正常进京赴省上访情况来衡量，出现因信访维稳被追责的，扣</w:t>
      </w:r>
      <w:r>
        <w:rPr>
          <w:rFonts w:ascii="Times New Roman" w:hAnsi="Times New Roman" w:eastAsia="仿宋" w:cs="Times New Roman"/>
          <w:color w:val="000000"/>
          <w:spacing w:val="-5"/>
          <w:sz w:val="32"/>
          <w:szCs w:val="32"/>
        </w:rPr>
        <w:t>30</w:t>
      </w:r>
      <w:r>
        <w:rPr>
          <w:rFonts w:hint="eastAsia" w:ascii="Times New Roman" w:hAnsi="Times New Roman" w:eastAsia="仿宋" w:cs="仿宋"/>
          <w:color w:val="000000"/>
          <w:spacing w:val="-5"/>
          <w:sz w:val="32"/>
          <w:szCs w:val="32"/>
        </w:rPr>
        <w:t>分。本指标的重大舆情问题，是指出现负面问题，受到媒体广泛关注，造成严重不良影响的，扣</w:t>
      </w:r>
      <w:r>
        <w:rPr>
          <w:rFonts w:ascii="Times New Roman" w:hAnsi="Times New Roman" w:eastAsia="仿宋" w:cs="Times New Roman"/>
          <w:color w:val="000000"/>
          <w:spacing w:val="-5"/>
          <w:sz w:val="32"/>
          <w:szCs w:val="32"/>
        </w:rPr>
        <w:t>30</w:t>
      </w:r>
      <w:r>
        <w:rPr>
          <w:rFonts w:hint="eastAsia" w:ascii="Times New Roman" w:hAnsi="Times New Roman" w:eastAsia="仿宋" w:cs="仿宋"/>
          <w:color w:val="000000"/>
          <w:spacing w:val="-5"/>
          <w:sz w:val="32"/>
          <w:szCs w:val="32"/>
        </w:rPr>
        <w:t>分。本指标的廉政建设问题，是指县市区民政局机关、直属单位工作人员出现违法违纪行为，受到记过以上处分的，扣</w:t>
      </w:r>
      <w:r>
        <w:rPr>
          <w:rFonts w:ascii="Times New Roman" w:hAnsi="Times New Roman" w:eastAsia="仿宋" w:cs="Times New Roman"/>
          <w:color w:val="000000"/>
          <w:spacing w:val="-5"/>
          <w:sz w:val="32"/>
          <w:szCs w:val="32"/>
        </w:rPr>
        <w:t>30</w:t>
      </w:r>
      <w:r>
        <w:rPr>
          <w:rFonts w:hint="eastAsia" w:ascii="Times New Roman" w:hAnsi="Times New Roman" w:eastAsia="仿宋" w:cs="仿宋"/>
          <w:color w:val="000000"/>
          <w:spacing w:val="-5"/>
          <w:sz w:val="32"/>
          <w:szCs w:val="32"/>
        </w:rPr>
        <w:t>分。</w:t>
      </w:r>
    </w:p>
    <w:p>
      <w:pPr>
        <w:spacing w:line="580" w:lineRule="exact"/>
        <w:ind w:firstLine="640" w:firstLineChars="200"/>
        <w:rPr>
          <w:rFonts w:ascii="Times New Roman" w:hAnsi="Times New Roman" w:eastAsia="黑体" w:cs="Times New Roman"/>
          <w:color w:val="000000"/>
          <w:sz w:val="32"/>
          <w:szCs w:val="32"/>
        </w:rPr>
      </w:pPr>
      <w:r>
        <w:rPr>
          <w:rFonts w:hint="eastAsia" w:ascii="Times New Roman" w:hAnsi="Times New Roman" w:eastAsia="黑体" w:cs="黑体"/>
          <w:color w:val="000000"/>
          <w:sz w:val="32"/>
          <w:szCs w:val="32"/>
        </w:rPr>
        <w:t>二、创新实验</w:t>
      </w:r>
    </w:p>
    <w:tbl>
      <w:tblPr>
        <w:tblStyle w:val="7"/>
        <w:tblW w:w="880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78"/>
        <w:gridCol w:w="6495"/>
        <w:gridCol w:w="9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378" w:type="dxa"/>
            <w:vAlign w:val="center"/>
          </w:tcPr>
          <w:p>
            <w:pPr>
              <w:spacing w:line="400" w:lineRule="exact"/>
              <w:jc w:val="center"/>
              <w:rPr>
                <w:rFonts w:ascii="Times New Roman" w:hAnsi="Times New Roman" w:cs="Times New Roman"/>
                <w:color w:val="000000"/>
                <w:sz w:val="24"/>
                <w:szCs w:val="24"/>
              </w:rPr>
            </w:pPr>
            <w:r>
              <w:rPr>
                <w:rFonts w:hint="eastAsia" w:ascii="Times New Roman" w:hAnsi="Times New Roman" w:cs="宋体"/>
                <w:color w:val="000000"/>
                <w:sz w:val="24"/>
                <w:szCs w:val="24"/>
              </w:rPr>
              <w:t>（三十一）</w:t>
            </w:r>
          </w:p>
        </w:tc>
        <w:tc>
          <w:tcPr>
            <w:tcW w:w="6495" w:type="dxa"/>
            <w:vAlign w:val="center"/>
          </w:tcPr>
          <w:p>
            <w:pPr>
              <w:spacing w:line="400" w:lineRule="exact"/>
              <w:rPr>
                <w:rFonts w:ascii="Times New Roman" w:hAnsi="Times New Roman" w:cs="Times New Roman"/>
                <w:color w:val="000000"/>
                <w:sz w:val="24"/>
                <w:szCs w:val="24"/>
              </w:rPr>
            </w:pPr>
            <w:r>
              <w:rPr>
                <w:rFonts w:ascii="Times New Roman" w:hAnsi="Times New Roman" w:cs="Times New Roman"/>
                <w:color w:val="000000"/>
                <w:sz w:val="24"/>
                <w:szCs w:val="24"/>
              </w:rPr>
              <w:t>1</w:t>
            </w:r>
            <w:r>
              <w:rPr>
                <w:rFonts w:hint="eastAsia" w:ascii="Times New Roman" w:hAnsi="Times New Roman" w:cs="宋体"/>
                <w:color w:val="000000"/>
                <w:sz w:val="24"/>
                <w:szCs w:val="24"/>
              </w:rPr>
              <w:t>、探索建立地名普查成果长效转化机制，并初步发挥作用。</w:t>
            </w:r>
          </w:p>
          <w:p>
            <w:pPr>
              <w:spacing w:line="400" w:lineRule="exact"/>
              <w:rPr>
                <w:rFonts w:ascii="Times New Roman" w:hAnsi="Times New Roman" w:cs="Times New Roman"/>
                <w:color w:val="000000"/>
                <w:sz w:val="24"/>
                <w:szCs w:val="24"/>
              </w:rPr>
            </w:pPr>
            <w:r>
              <w:rPr>
                <w:rFonts w:ascii="Times New Roman" w:hAnsi="Times New Roman" w:cs="Times New Roman"/>
                <w:color w:val="000000"/>
                <w:sz w:val="24"/>
                <w:szCs w:val="24"/>
              </w:rPr>
              <w:t>2</w:t>
            </w:r>
            <w:r>
              <w:rPr>
                <w:rFonts w:hint="eastAsia" w:ascii="Times New Roman" w:hAnsi="Times New Roman" w:cs="宋体"/>
                <w:color w:val="000000"/>
                <w:sz w:val="24"/>
                <w:szCs w:val="24"/>
              </w:rPr>
              <w:t>、探索建立互联网</w:t>
            </w:r>
            <w:r>
              <w:rPr>
                <w:rFonts w:ascii="Times New Roman" w:hAnsi="Times New Roman" w:cs="Times New Roman"/>
                <w:color w:val="000000"/>
                <w:sz w:val="24"/>
                <w:szCs w:val="24"/>
              </w:rPr>
              <w:t>+</w:t>
            </w:r>
            <w:r>
              <w:rPr>
                <w:rFonts w:hint="eastAsia" w:ascii="Times New Roman" w:hAnsi="Times New Roman" w:cs="宋体"/>
                <w:color w:val="000000"/>
                <w:sz w:val="24"/>
                <w:szCs w:val="24"/>
              </w:rPr>
              <w:t>民政政务服务模式，并初步发挥作用。</w:t>
            </w:r>
          </w:p>
          <w:p>
            <w:pPr>
              <w:spacing w:line="400" w:lineRule="exact"/>
              <w:rPr>
                <w:rFonts w:ascii="Times New Roman" w:hAnsi="Times New Roman" w:cs="Times New Roman"/>
                <w:color w:val="000000"/>
                <w:sz w:val="24"/>
                <w:szCs w:val="24"/>
              </w:rPr>
            </w:pPr>
            <w:r>
              <w:rPr>
                <w:rFonts w:ascii="Times New Roman" w:hAnsi="Times New Roman" w:cs="Times New Roman"/>
                <w:color w:val="000000"/>
                <w:sz w:val="24"/>
                <w:szCs w:val="24"/>
              </w:rPr>
              <w:t>3</w:t>
            </w:r>
            <w:r>
              <w:rPr>
                <w:rFonts w:hint="eastAsia" w:ascii="Times New Roman" w:hAnsi="Times New Roman" w:cs="宋体"/>
                <w:color w:val="000000"/>
                <w:sz w:val="24"/>
                <w:szCs w:val="24"/>
              </w:rPr>
              <w:t>、以区域性养老服务中心或乡镇敬老院为支撑，以农村互助幸福院等为网点，建设具有本地特色的农村养老服务体系。</w:t>
            </w:r>
          </w:p>
          <w:p>
            <w:pPr>
              <w:spacing w:line="400" w:lineRule="exact"/>
              <w:rPr>
                <w:rFonts w:ascii="Times New Roman" w:hAnsi="Times New Roman" w:cs="Times New Roman"/>
                <w:color w:val="000000"/>
                <w:sz w:val="24"/>
                <w:szCs w:val="24"/>
              </w:rPr>
            </w:pPr>
            <w:r>
              <w:rPr>
                <w:rFonts w:ascii="Times New Roman" w:hAnsi="Times New Roman" w:cs="Times New Roman"/>
                <w:color w:val="000000"/>
                <w:sz w:val="24"/>
                <w:szCs w:val="24"/>
              </w:rPr>
              <w:t>4</w:t>
            </w:r>
            <w:r>
              <w:rPr>
                <w:rFonts w:hint="eastAsia" w:ascii="Times New Roman" w:hAnsi="Times New Roman" w:cs="宋体"/>
                <w:color w:val="000000"/>
                <w:sz w:val="24"/>
                <w:szCs w:val="24"/>
              </w:rPr>
              <w:t>、以留守老年人信息为基础，以落实关爱服务要求为目标，建立县级农村留守老年人关爱服务信息平台。</w:t>
            </w:r>
          </w:p>
          <w:p>
            <w:pPr>
              <w:spacing w:line="400" w:lineRule="exact"/>
              <w:rPr>
                <w:rFonts w:ascii="Times New Roman" w:hAnsi="Times New Roman" w:cs="Times New Roman"/>
                <w:color w:val="000000"/>
                <w:sz w:val="24"/>
                <w:szCs w:val="24"/>
              </w:rPr>
            </w:pPr>
            <w:r>
              <w:rPr>
                <w:rFonts w:ascii="Times New Roman" w:hAnsi="Times New Roman" w:cs="Times New Roman"/>
                <w:color w:val="000000"/>
                <w:sz w:val="24"/>
                <w:szCs w:val="24"/>
              </w:rPr>
              <w:t>5</w:t>
            </w:r>
            <w:r>
              <w:rPr>
                <w:rFonts w:hint="eastAsia" w:ascii="Times New Roman" w:hAnsi="Times New Roman" w:cs="宋体"/>
                <w:color w:val="000000"/>
                <w:sz w:val="24"/>
                <w:szCs w:val="24"/>
              </w:rPr>
              <w:t>、建立手机</w:t>
            </w:r>
            <w:r>
              <w:rPr>
                <w:rFonts w:ascii="Times New Roman" w:hAnsi="Times New Roman" w:cs="Times New Roman"/>
                <w:color w:val="000000"/>
                <w:sz w:val="24"/>
                <w:szCs w:val="24"/>
              </w:rPr>
              <w:t>APP</w:t>
            </w:r>
            <w:r>
              <w:rPr>
                <w:rFonts w:hint="eastAsia" w:ascii="Times New Roman" w:hAnsi="Times New Roman" w:cs="宋体"/>
                <w:color w:val="000000"/>
                <w:sz w:val="24"/>
                <w:szCs w:val="24"/>
              </w:rPr>
              <w:t>采集儿童数据信息平台，为基层采集儿童数据提供便利，提高数据采集准确率。</w:t>
            </w:r>
          </w:p>
          <w:p>
            <w:pPr>
              <w:spacing w:line="400" w:lineRule="exact"/>
              <w:rPr>
                <w:rFonts w:ascii="Times New Roman" w:hAnsi="Times New Roman" w:cs="Times New Roman"/>
                <w:color w:val="000000"/>
                <w:sz w:val="24"/>
                <w:szCs w:val="24"/>
              </w:rPr>
            </w:pPr>
            <w:r>
              <w:rPr>
                <w:rFonts w:ascii="Times New Roman" w:hAnsi="Times New Roman" w:cs="Times New Roman"/>
                <w:color w:val="000000"/>
                <w:sz w:val="24"/>
                <w:szCs w:val="24"/>
              </w:rPr>
              <w:t>6</w:t>
            </w:r>
            <w:r>
              <w:rPr>
                <w:rFonts w:hint="eastAsia" w:ascii="Times New Roman" w:hAnsi="Times New Roman" w:cs="宋体"/>
                <w:color w:val="000000"/>
                <w:sz w:val="24"/>
                <w:szCs w:val="24"/>
              </w:rPr>
              <w:t>、聚焦深度贫困县和深度贫困村，探索</w:t>
            </w:r>
            <w:r>
              <w:rPr>
                <w:rFonts w:ascii="Times New Roman" w:hAnsi="Times New Roman" w:cs="Times New Roman"/>
                <w:color w:val="000000"/>
                <w:sz w:val="24"/>
                <w:szCs w:val="24"/>
              </w:rPr>
              <w:t>“1</w:t>
            </w:r>
            <w:r>
              <w:rPr>
                <w:rFonts w:hint="eastAsia" w:ascii="Times New Roman" w:hAnsi="Times New Roman" w:cs="宋体"/>
                <w:color w:val="000000"/>
                <w:sz w:val="24"/>
                <w:szCs w:val="24"/>
              </w:rPr>
              <w:t>支驻村扶贫工作队</w:t>
            </w:r>
            <w:r>
              <w:rPr>
                <w:rFonts w:ascii="Times New Roman" w:hAnsi="Times New Roman" w:cs="Times New Roman"/>
                <w:color w:val="000000"/>
                <w:sz w:val="24"/>
                <w:szCs w:val="24"/>
              </w:rPr>
              <w:t>+1</w:t>
            </w:r>
            <w:r>
              <w:rPr>
                <w:rFonts w:hint="eastAsia" w:ascii="Times New Roman" w:hAnsi="Times New Roman" w:cs="宋体"/>
                <w:color w:val="000000"/>
                <w:sz w:val="24"/>
                <w:szCs w:val="24"/>
              </w:rPr>
              <w:t>家社工机构</w:t>
            </w:r>
            <w:r>
              <w:rPr>
                <w:rFonts w:ascii="Times New Roman" w:hAnsi="Times New Roman" w:cs="Times New Roman"/>
                <w:color w:val="000000"/>
                <w:sz w:val="24"/>
                <w:szCs w:val="24"/>
              </w:rPr>
              <w:t>+1</w:t>
            </w:r>
            <w:r>
              <w:rPr>
                <w:rFonts w:hint="eastAsia" w:ascii="Times New Roman" w:hAnsi="Times New Roman" w:cs="宋体"/>
                <w:color w:val="000000"/>
                <w:sz w:val="24"/>
                <w:szCs w:val="24"/>
              </w:rPr>
              <w:t>个志愿服务团队</w:t>
            </w:r>
            <w:r>
              <w:rPr>
                <w:rFonts w:ascii="Times New Roman" w:hAnsi="Times New Roman" w:cs="Times New Roman"/>
                <w:color w:val="000000"/>
                <w:sz w:val="24"/>
                <w:szCs w:val="24"/>
              </w:rPr>
              <w:t>”</w:t>
            </w:r>
            <w:r>
              <w:rPr>
                <w:rFonts w:hint="eastAsia" w:ascii="Times New Roman" w:hAnsi="Times New Roman" w:cs="宋体"/>
                <w:color w:val="000000"/>
                <w:sz w:val="24"/>
                <w:szCs w:val="24"/>
              </w:rPr>
              <w:t>的</w:t>
            </w:r>
            <w:r>
              <w:rPr>
                <w:rFonts w:ascii="Times New Roman" w:hAnsi="Times New Roman" w:cs="Times New Roman"/>
                <w:color w:val="000000"/>
                <w:sz w:val="24"/>
                <w:szCs w:val="24"/>
              </w:rPr>
              <w:t>“1+1+1”</w:t>
            </w:r>
            <w:r>
              <w:rPr>
                <w:rFonts w:hint="eastAsia" w:ascii="Times New Roman" w:hAnsi="Times New Roman" w:cs="宋体"/>
                <w:color w:val="000000"/>
                <w:sz w:val="24"/>
                <w:szCs w:val="24"/>
              </w:rPr>
              <w:t>模式，实现政府力量与社会力量的有效整合，建立社会工作和志愿服务参与脱贫攻坚机制。</w:t>
            </w:r>
          </w:p>
          <w:p>
            <w:pPr>
              <w:spacing w:line="400" w:lineRule="exact"/>
              <w:rPr>
                <w:rFonts w:ascii="Times New Roman" w:hAnsi="Times New Roman" w:cs="Times New Roman"/>
                <w:color w:val="000000"/>
                <w:sz w:val="24"/>
                <w:szCs w:val="24"/>
              </w:rPr>
            </w:pPr>
            <w:r>
              <w:rPr>
                <w:rFonts w:ascii="Times New Roman" w:hAnsi="Times New Roman" w:cs="Times New Roman"/>
                <w:color w:val="000000"/>
                <w:sz w:val="24"/>
                <w:szCs w:val="24"/>
              </w:rPr>
              <w:t>7</w:t>
            </w:r>
            <w:r>
              <w:rPr>
                <w:rFonts w:hint="eastAsia" w:ascii="Times New Roman" w:hAnsi="Times New Roman" w:cs="宋体"/>
                <w:color w:val="000000"/>
                <w:sz w:val="24"/>
                <w:szCs w:val="24"/>
              </w:rPr>
              <w:t>、培育</w:t>
            </w:r>
            <w:r>
              <w:rPr>
                <w:rFonts w:ascii="Times New Roman" w:hAnsi="Times New Roman" w:cs="Times New Roman"/>
                <w:color w:val="000000"/>
                <w:sz w:val="24"/>
                <w:szCs w:val="24"/>
              </w:rPr>
              <w:t>“</w:t>
            </w:r>
            <w:r>
              <w:rPr>
                <w:rFonts w:hint="eastAsia" w:ascii="Times New Roman" w:hAnsi="Times New Roman" w:cs="宋体"/>
                <w:color w:val="000000"/>
                <w:sz w:val="24"/>
                <w:szCs w:val="24"/>
              </w:rPr>
              <w:t>三社</w:t>
            </w:r>
            <w:r>
              <w:rPr>
                <w:rFonts w:ascii="Times New Roman" w:hAnsi="Times New Roman" w:cs="Times New Roman"/>
                <w:color w:val="000000"/>
                <w:sz w:val="24"/>
                <w:szCs w:val="24"/>
              </w:rPr>
              <w:t>”</w:t>
            </w:r>
            <w:r>
              <w:rPr>
                <w:rFonts w:hint="eastAsia" w:ascii="Times New Roman" w:hAnsi="Times New Roman" w:cs="宋体"/>
                <w:color w:val="000000"/>
                <w:sz w:val="24"/>
                <w:szCs w:val="24"/>
              </w:rPr>
              <w:t>力量，打造联动平台，建立社会工作及志愿服务参与基层社会治理机制。</w:t>
            </w:r>
          </w:p>
          <w:p>
            <w:pPr>
              <w:spacing w:line="400" w:lineRule="exact"/>
              <w:rPr>
                <w:rFonts w:ascii="Times New Roman" w:hAnsi="Times New Roman" w:cs="Times New Roman"/>
                <w:color w:val="000000"/>
                <w:sz w:val="24"/>
                <w:szCs w:val="24"/>
              </w:rPr>
            </w:pPr>
            <w:r>
              <w:rPr>
                <w:rFonts w:ascii="Times New Roman" w:hAnsi="Times New Roman" w:cs="Times New Roman"/>
                <w:color w:val="000000"/>
                <w:sz w:val="24"/>
                <w:szCs w:val="24"/>
              </w:rPr>
              <w:t>8</w:t>
            </w:r>
            <w:r>
              <w:rPr>
                <w:rFonts w:hint="eastAsia" w:ascii="Times New Roman" w:hAnsi="Times New Roman" w:cs="宋体"/>
                <w:color w:val="000000"/>
                <w:sz w:val="24"/>
                <w:szCs w:val="24"/>
              </w:rPr>
              <w:t>、构建</w:t>
            </w:r>
            <w:r>
              <w:rPr>
                <w:rFonts w:ascii="Times New Roman" w:hAnsi="Times New Roman" w:cs="Times New Roman"/>
                <w:color w:val="000000"/>
                <w:sz w:val="24"/>
                <w:szCs w:val="24"/>
              </w:rPr>
              <w:t>“</w:t>
            </w:r>
            <w:r>
              <w:rPr>
                <w:rFonts w:hint="eastAsia" w:ascii="Times New Roman" w:hAnsi="Times New Roman" w:cs="宋体"/>
                <w:color w:val="000000"/>
                <w:sz w:val="24"/>
                <w:szCs w:val="24"/>
              </w:rPr>
              <w:t>村（社区）民政协理员</w:t>
            </w:r>
            <w:r>
              <w:rPr>
                <w:rFonts w:ascii="Times New Roman" w:hAnsi="Times New Roman" w:cs="Times New Roman"/>
                <w:color w:val="000000"/>
                <w:sz w:val="24"/>
                <w:szCs w:val="24"/>
              </w:rPr>
              <w:t>+</w:t>
            </w:r>
            <w:r>
              <w:rPr>
                <w:rFonts w:hint="eastAsia" w:ascii="Times New Roman" w:hAnsi="Times New Roman" w:cs="宋体"/>
                <w:color w:val="000000"/>
                <w:sz w:val="24"/>
                <w:szCs w:val="24"/>
              </w:rPr>
              <w:t>社会工作者</w:t>
            </w:r>
            <w:r>
              <w:rPr>
                <w:rFonts w:ascii="Times New Roman" w:hAnsi="Times New Roman" w:cs="Times New Roman"/>
                <w:color w:val="000000"/>
                <w:sz w:val="24"/>
                <w:szCs w:val="24"/>
              </w:rPr>
              <w:t>+</w:t>
            </w:r>
            <w:r>
              <w:rPr>
                <w:rFonts w:hint="eastAsia" w:ascii="Times New Roman" w:hAnsi="Times New Roman" w:cs="宋体"/>
                <w:color w:val="000000"/>
                <w:sz w:val="24"/>
                <w:szCs w:val="24"/>
              </w:rPr>
              <w:t>乡镇（街道）民政专干</w:t>
            </w:r>
            <w:r>
              <w:rPr>
                <w:rFonts w:ascii="Times New Roman" w:hAnsi="Times New Roman" w:cs="Times New Roman"/>
                <w:color w:val="000000"/>
                <w:sz w:val="24"/>
                <w:szCs w:val="24"/>
              </w:rPr>
              <w:t>+</w:t>
            </w:r>
            <w:r>
              <w:rPr>
                <w:rFonts w:hint="eastAsia" w:ascii="Times New Roman" w:hAnsi="Times New Roman" w:cs="宋体"/>
                <w:color w:val="000000"/>
                <w:sz w:val="24"/>
                <w:szCs w:val="24"/>
              </w:rPr>
              <w:t>相关政府部门和公益慈善组织</w:t>
            </w:r>
            <w:r>
              <w:rPr>
                <w:rFonts w:ascii="Times New Roman" w:hAnsi="Times New Roman" w:cs="Times New Roman"/>
                <w:color w:val="000000"/>
                <w:sz w:val="24"/>
                <w:szCs w:val="24"/>
              </w:rPr>
              <w:t>”</w:t>
            </w:r>
            <w:r>
              <w:rPr>
                <w:rFonts w:hint="eastAsia" w:ascii="Times New Roman" w:hAnsi="Times New Roman" w:cs="宋体"/>
                <w:color w:val="000000"/>
                <w:sz w:val="24"/>
                <w:szCs w:val="24"/>
              </w:rPr>
              <w:t>四级网络，建立</w:t>
            </w:r>
            <w:r>
              <w:rPr>
                <w:rFonts w:ascii="Times New Roman" w:hAnsi="Times New Roman" w:cs="Times New Roman"/>
                <w:color w:val="000000"/>
                <w:sz w:val="24"/>
                <w:szCs w:val="24"/>
              </w:rPr>
              <w:t>“</w:t>
            </w:r>
            <w:r>
              <w:rPr>
                <w:rFonts w:hint="eastAsia" w:ascii="Times New Roman" w:hAnsi="Times New Roman" w:cs="宋体"/>
                <w:color w:val="000000"/>
                <w:sz w:val="24"/>
                <w:szCs w:val="24"/>
              </w:rPr>
              <w:t>四个精准</w:t>
            </w:r>
            <w:r>
              <w:rPr>
                <w:rFonts w:ascii="Times New Roman" w:hAnsi="Times New Roman" w:cs="Times New Roman"/>
                <w:color w:val="000000"/>
                <w:sz w:val="24"/>
                <w:szCs w:val="24"/>
              </w:rPr>
              <w:t>”</w:t>
            </w:r>
            <w:r>
              <w:rPr>
                <w:rFonts w:hint="eastAsia" w:ascii="Times New Roman" w:hAnsi="Times New Roman" w:cs="宋体"/>
                <w:color w:val="000000"/>
                <w:sz w:val="24"/>
                <w:szCs w:val="24"/>
              </w:rPr>
              <w:t>体系（对象精准识别、需求精准分析、资源精准对接、项目精准打造），创新乡镇（街道）社会工作服务站运行机制，提升基层民政服务能力。</w:t>
            </w:r>
          </w:p>
          <w:p>
            <w:pPr>
              <w:spacing w:line="400" w:lineRule="exact"/>
              <w:rPr>
                <w:rFonts w:ascii="Times New Roman" w:hAnsi="Times New Roman" w:cs="Times New Roman"/>
                <w:color w:val="000000"/>
                <w:sz w:val="24"/>
                <w:szCs w:val="24"/>
              </w:rPr>
            </w:pPr>
            <w:r>
              <w:rPr>
                <w:rFonts w:ascii="Times New Roman" w:hAnsi="Times New Roman" w:cs="Times New Roman"/>
                <w:color w:val="000000"/>
                <w:sz w:val="24"/>
                <w:szCs w:val="24"/>
              </w:rPr>
              <w:t>9</w:t>
            </w:r>
            <w:r>
              <w:rPr>
                <w:rFonts w:hint="eastAsia" w:ascii="Times New Roman" w:hAnsi="Times New Roman" w:cs="宋体"/>
                <w:color w:val="000000"/>
                <w:sz w:val="24"/>
                <w:szCs w:val="24"/>
              </w:rPr>
              <w:t>、引入社会工作者，建立对民政服务对象的主动发现和综合服务体系，构建社会工作介入社会救助（或养老、残疾人权益保护、留守儿童关爱等）机制。</w:t>
            </w:r>
          </w:p>
          <w:p>
            <w:pPr>
              <w:spacing w:line="400" w:lineRule="exact"/>
              <w:rPr>
                <w:rFonts w:ascii="Times New Roman" w:hAnsi="Times New Roman" w:cs="Times New Roman"/>
                <w:color w:val="000000"/>
                <w:sz w:val="24"/>
                <w:szCs w:val="24"/>
              </w:rPr>
            </w:pPr>
            <w:r>
              <w:rPr>
                <w:rFonts w:ascii="Times New Roman" w:hAnsi="Times New Roman" w:cs="Times New Roman"/>
                <w:color w:val="000000"/>
                <w:sz w:val="24"/>
                <w:szCs w:val="24"/>
              </w:rPr>
              <w:t>10</w:t>
            </w:r>
            <w:r>
              <w:rPr>
                <w:rFonts w:hint="eastAsia" w:ascii="Times New Roman" w:hAnsi="Times New Roman" w:cs="宋体"/>
                <w:color w:val="000000"/>
                <w:sz w:val="24"/>
                <w:szCs w:val="24"/>
              </w:rPr>
              <w:t>、探索建立乡镇民政资金监督管理机制，推进民政资金监管作用发挥。</w:t>
            </w:r>
          </w:p>
          <w:p>
            <w:pPr>
              <w:spacing w:line="400" w:lineRule="exact"/>
              <w:rPr>
                <w:rFonts w:ascii="Times New Roman" w:hAnsi="Times New Roman" w:cs="Times New Roman"/>
                <w:color w:val="000000"/>
                <w:sz w:val="24"/>
                <w:szCs w:val="24"/>
              </w:rPr>
            </w:pPr>
            <w:r>
              <w:rPr>
                <w:rFonts w:ascii="Times New Roman" w:hAnsi="Times New Roman" w:cs="Times New Roman"/>
                <w:color w:val="000000"/>
                <w:sz w:val="24"/>
                <w:szCs w:val="24"/>
              </w:rPr>
              <w:t>11</w:t>
            </w:r>
            <w:r>
              <w:rPr>
                <w:rFonts w:hint="eastAsia" w:ascii="Times New Roman" w:hAnsi="Times New Roman" w:cs="宋体"/>
                <w:color w:val="000000"/>
                <w:sz w:val="24"/>
                <w:szCs w:val="24"/>
              </w:rPr>
              <w:t>、探索建立社会救助兜底保障对象救助帮扶长效机制，明确具体救助帮扶措施，落实好基本生活、住房、医疗、教育、就业等保障措施。</w:t>
            </w:r>
          </w:p>
          <w:p>
            <w:pPr>
              <w:spacing w:line="400" w:lineRule="exact"/>
              <w:rPr>
                <w:rFonts w:ascii="Times New Roman" w:hAnsi="Times New Roman" w:cs="Times New Roman"/>
                <w:color w:val="000000"/>
                <w:sz w:val="24"/>
                <w:szCs w:val="24"/>
              </w:rPr>
            </w:pPr>
            <w:r>
              <w:rPr>
                <w:rFonts w:ascii="Times New Roman" w:hAnsi="Times New Roman" w:cs="Times New Roman"/>
                <w:color w:val="000000"/>
                <w:sz w:val="24"/>
                <w:szCs w:val="24"/>
              </w:rPr>
              <w:t>12</w:t>
            </w:r>
            <w:r>
              <w:rPr>
                <w:rFonts w:hint="eastAsia" w:ascii="Times New Roman" w:hAnsi="Times New Roman" w:cs="宋体"/>
                <w:color w:val="000000"/>
                <w:sz w:val="24"/>
                <w:szCs w:val="24"/>
              </w:rPr>
              <w:t>、制定低保家庭收入和财产核算评估办法，精准核实低保家庭收入和财产，实现低保分档救助向精准差额救助转变。</w:t>
            </w:r>
          </w:p>
          <w:p>
            <w:pPr>
              <w:spacing w:line="400" w:lineRule="exact"/>
              <w:rPr>
                <w:rFonts w:ascii="Times New Roman" w:hAnsi="Times New Roman" w:cs="Times New Roman"/>
                <w:color w:val="000000"/>
                <w:sz w:val="24"/>
                <w:szCs w:val="24"/>
              </w:rPr>
            </w:pPr>
            <w:r>
              <w:rPr>
                <w:rFonts w:ascii="Times New Roman" w:hAnsi="Times New Roman" w:cs="Times New Roman"/>
                <w:color w:val="000000"/>
                <w:sz w:val="24"/>
                <w:szCs w:val="24"/>
              </w:rPr>
              <w:t>13</w:t>
            </w:r>
            <w:r>
              <w:rPr>
                <w:rFonts w:hint="eastAsia" w:ascii="Times New Roman" w:hAnsi="Times New Roman" w:cs="宋体"/>
                <w:color w:val="000000"/>
                <w:sz w:val="24"/>
                <w:szCs w:val="24"/>
              </w:rPr>
              <w:t>、健全分散供养特困人员救助供养工作管理机制，加强分散供养特困人员基本生活保障和照料服务。</w:t>
            </w:r>
          </w:p>
          <w:p>
            <w:pPr>
              <w:spacing w:line="400" w:lineRule="exact"/>
              <w:rPr>
                <w:rFonts w:ascii="Times New Roman" w:hAnsi="Times New Roman" w:cs="Times New Roman"/>
                <w:color w:val="000000"/>
                <w:sz w:val="24"/>
                <w:szCs w:val="24"/>
              </w:rPr>
            </w:pPr>
            <w:r>
              <w:rPr>
                <w:rFonts w:ascii="Times New Roman" w:hAnsi="Times New Roman" w:cs="Times New Roman"/>
                <w:color w:val="000000"/>
                <w:sz w:val="24"/>
                <w:szCs w:val="24"/>
              </w:rPr>
              <w:t>14</w:t>
            </w:r>
            <w:r>
              <w:rPr>
                <w:rFonts w:hint="eastAsia" w:ascii="Times New Roman" w:hAnsi="Times New Roman" w:cs="宋体"/>
                <w:color w:val="000000"/>
                <w:sz w:val="24"/>
                <w:szCs w:val="24"/>
              </w:rPr>
              <w:t>、探索以乡镇（街道）</w:t>
            </w:r>
            <w:r>
              <w:rPr>
                <w:rFonts w:ascii="Times New Roman" w:hAnsi="Times New Roman" w:cs="Times New Roman"/>
                <w:color w:val="000000"/>
                <w:sz w:val="24"/>
                <w:szCs w:val="24"/>
              </w:rPr>
              <w:t>“</w:t>
            </w:r>
            <w:r>
              <w:rPr>
                <w:rFonts w:hint="eastAsia" w:ascii="Times New Roman" w:hAnsi="Times New Roman" w:cs="宋体"/>
                <w:color w:val="000000"/>
                <w:sz w:val="24"/>
                <w:szCs w:val="24"/>
              </w:rPr>
              <w:t>一站式</w:t>
            </w:r>
            <w:r>
              <w:rPr>
                <w:rFonts w:ascii="Times New Roman" w:hAnsi="Times New Roman" w:cs="Times New Roman"/>
                <w:color w:val="000000"/>
                <w:sz w:val="24"/>
                <w:szCs w:val="24"/>
              </w:rPr>
              <w:t>”</w:t>
            </w:r>
            <w:r>
              <w:rPr>
                <w:rFonts w:hint="eastAsia" w:ascii="Times New Roman" w:hAnsi="Times New Roman" w:cs="宋体"/>
                <w:color w:val="000000"/>
                <w:sz w:val="24"/>
                <w:szCs w:val="24"/>
              </w:rPr>
              <w:t>公共服务平台为依托，实现乡镇公共服务</w:t>
            </w:r>
            <w:r>
              <w:rPr>
                <w:rFonts w:ascii="Times New Roman" w:hAnsi="Times New Roman" w:cs="Times New Roman"/>
                <w:color w:val="000000"/>
                <w:sz w:val="24"/>
                <w:szCs w:val="24"/>
              </w:rPr>
              <w:t>“</w:t>
            </w:r>
            <w:r>
              <w:rPr>
                <w:rFonts w:hint="eastAsia" w:ascii="Times New Roman" w:hAnsi="Times New Roman" w:cs="宋体"/>
                <w:color w:val="000000"/>
                <w:sz w:val="24"/>
                <w:szCs w:val="24"/>
              </w:rPr>
              <w:t>马上办、网上办、就近办、一次办</w:t>
            </w:r>
            <w:r>
              <w:rPr>
                <w:rFonts w:ascii="Times New Roman" w:hAnsi="Times New Roman" w:cs="Times New Roman"/>
                <w:color w:val="000000"/>
                <w:sz w:val="24"/>
                <w:szCs w:val="24"/>
              </w:rPr>
              <w:t>”</w:t>
            </w:r>
            <w:r>
              <w:rPr>
                <w:rFonts w:hint="eastAsia" w:ascii="Times New Roman" w:hAnsi="Times New Roman" w:cs="宋体"/>
                <w:color w:val="000000"/>
                <w:sz w:val="24"/>
                <w:szCs w:val="24"/>
              </w:rPr>
              <w:t>。</w:t>
            </w:r>
          </w:p>
          <w:p>
            <w:pPr>
              <w:spacing w:line="400" w:lineRule="exact"/>
              <w:rPr>
                <w:rFonts w:ascii="Times New Roman" w:hAnsi="Times New Roman" w:cs="Times New Roman"/>
                <w:color w:val="000000"/>
                <w:sz w:val="24"/>
                <w:szCs w:val="24"/>
              </w:rPr>
            </w:pPr>
            <w:r>
              <w:rPr>
                <w:rFonts w:ascii="Times New Roman" w:hAnsi="Times New Roman" w:cs="Times New Roman"/>
                <w:color w:val="000000"/>
                <w:sz w:val="24"/>
                <w:szCs w:val="24"/>
              </w:rPr>
              <w:t>15</w:t>
            </w:r>
            <w:r>
              <w:rPr>
                <w:rFonts w:hint="eastAsia" w:ascii="Times New Roman" w:hAnsi="Times New Roman" w:cs="宋体"/>
                <w:color w:val="000000"/>
                <w:sz w:val="24"/>
                <w:szCs w:val="24"/>
              </w:rPr>
              <w:t>、发挥</w:t>
            </w:r>
            <w:r>
              <w:rPr>
                <w:rFonts w:ascii="Times New Roman" w:hAnsi="Times New Roman" w:cs="Times New Roman"/>
                <w:color w:val="000000"/>
                <w:sz w:val="24"/>
                <w:szCs w:val="24"/>
              </w:rPr>
              <w:t>“</w:t>
            </w:r>
            <w:r>
              <w:rPr>
                <w:rFonts w:hint="eastAsia" w:ascii="Times New Roman" w:hAnsi="Times New Roman" w:cs="宋体"/>
                <w:color w:val="000000"/>
                <w:sz w:val="24"/>
                <w:szCs w:val="24"/>
              </w:rPr>
              <w:t>互联网</w:t>
            </w:r>
            <w:r>
              <w:rPr>
                <w:rFonts w:ascii="Times New Roman" w:hAnsi="Times New Roman" w:cs="Times New Roman"/>
                <w:color w:val="000000"/>
                <w:sz w:val="24"/>
                <w:szCs w:val="24"/>
              </w:rPr>
              <w:t>+</w:t>
            </w:r>
            <w:r>
              <w:rPr>
                <w:rFonts w:hint="eastAsia" w:ascii="Times New Roman" w:hAnsi="Times New Roman" w:cs="宋体"/>
                <w:color w:val="000000"/>
                <w:sz w:val="24"/>
                <w:szCs w:val="24"/>
              </w:rPr>
              <w:t>村务</w:t>
            </w:r>
            <w:r>
              <w:rPr>
                <w:rFonts w:ascii="Times New Roman" w:hAnsi="Times New Roman" w:cs="Times New Roman"/>
                <w:color w:val="000000"/>
                <w:sz w:val="24"/>
                <w:szCs w:val="24"/>
              </w:rPr>
              <w:t>”</w:t>
            </w:r>
            <w:r>
              <w:rPr>
                <w:rFonts w:hint="eastAsia" w:ascii="Times New Roman" w:hAnsi="Times New Roman" w:cs="宋体"/>
                <w:color w:val="000000"/>
                <w:sz w:val="24"/>
                <w:szCs w:val="24"/>
              </w:rPr>
              <w:t>线上平台作用，深化村务公开</w:t>
            </w:r>
            <w:r>
              <w:rPr>
                <w:rFonts w:ascii="Times New Roman" w:hAnsi="Times New Roman" w:cs="Times New Roman"/>
                <w:color w:val="000000"/>
                <w:sz w:val="24"/>
                <w:szCs w:val="24"/>
              </w:rPr>
              <w:t>“</w:t>
            </w:r>
            <w:r>
              <w:rPr>
                <w:rFonts w:hint="eastAsia" w:ascii="Times New Roman" w:hAnsi="Times New Roman" w:cs="宋体"/>
                <w:color w:val="000000"/>
                <w:sz w:val="24"/>
                <w:szCs w:val="24"/>
              </w:rPr>
              <w:t>亮栏</w:t>
            </w:r>
            <w:r>
              <w:rPr>
                <w:rFonts w:ascii="Times New Roman" w:hAnsi="Times New Roman" w:cs="Times New Roman"/>
                <w:color w:val="000000"/>
                <w:sz w:val="24"/>
                <w:szCs w:val="24"/>
              </w:rPr>
              <w:t>”</w:t>
            </w:r>
            <w:r>
              <w:rPr>
                <w:rFonts w:hint="eastAsia" w:ascii="Times New Roman" w:hAnsi="Times New Roman" w:cs="宋体"/>
                <w:color w:val="000000"/>
                <w:sz w:val="24"/>
                <w:szCs w:val="24"/>
              </w:rPr>
              <w:t>行动，推动形成线上线下村务公开融合发展格局。</w:t>
            </w:r>
          </w:p>
          <w:p>
            <w:pPr>
              <w:spacing w:line="400" w:lineRule="exact"/>
              <w:rPr>
                <w:rFonts w:ascii="Times New Roman" w:hAnsi="Times New Roman" w:cs="Times New Roman"/>
                <w:color w:val="000000"/>
                <w:sz w:val="24"/>
                <w:szCs w:val="24"/>
              </w:rPr>
            </w:pPr>
            <w:r>
              <w:rPr>
                <w:rFonts w:hint="eastAsia" w:ascii="Times New Roman" w:hAnsi="Times New Roman" w:cs="宋体"/>
                <w:color w:val="000000"/>
                <w:sz w:val="24"/>
                <w:szCs w:val="24"/>
              </w:rPr>
              <w:t>注：各县市区可立足本地实际，自拟创新实验主题。</w:t>
            </w:r>
          </w:p>
        </w:tc>
        <w:tc>
          <w:tcPr>
            <w:tcW w:w="928" w:type="dxa"/>
            <w:vAlign w:val="center"/>
          </w:tcPr>
          <w:p>
            <w:pPr>
              <w:spacing w:line="400" w:lineRule="exact"/>
              <w:jc w:val="center"/>
              <w:rPr>
                <w:rFonts w:ascii="Times New Roman" w:hAnsi="Times New Roman" w:cs="Times New Roman"/>
                <w:color w:val="000000"/>
                <w:sz w:val="24"/>
                <w:szCs w:val="24"/>
              </w:rPr>
            </w:pPr>
            <w:r>
              <w:rPr>
                <w:rFonts w:ascii="Times New Roman" w:hAnsi="Times New Roman" w:cs="Times New Roman"/>
                <w:color w:val="000000"/>
                <w:sz w:val="24"/>
                <w:szCs w:val="24"/>
              </w:rPr>
              <w:t>12</w:t>
            </w:r>
            <w:r>
              <w:rPr>
                <w:rFonts w:hint="eastAsia" w:ascii="Times New Roman" w:hAnsi="Times New Roman" w:cs="宋体"/>
                <w:color w:val="000000"/>
                <w:sz w:val="24"/>
                <w:szCs w:val="24"/>
              </w:rPr>
              <w:t>分</w:t>
            </w:r>
          </w:p>
        </w:tc>
      </w:tr>
    </w:tbl>
    <w:p>
      <w:pPr>
        <w:spacing w:line="596" w:lineRule="exact"/>
        <w:ind w:firstLine="640" w:firstLineChars="200"/>
        <w:rPr>
          <w:rFonts w:ascii="Times New Roman" w:hAnsi="Times New Roman" w:eastAsia="仿宋" w:cs="Times New Roman"/>
          <w:color w:val="000000"/>
          <w:sz w:val="32"/>
          <w:szCs w:val="32"/>
        </w:rPr>
      </w:pPr>
      <w:r>
        <w:rPr>
          <w:rFonts w:hint="eastAsia" w:ascii="Times New Roman" w:hAnsi="Times New Roman" w:eastAsia="仿宋" w:cs="仿宋"/>
          <w:color w:val="000000"/>
          <w:sz w:val="32"/>
          <w:szCs w:val="32"/>
        </w:rPr>
        <w:t>本项指标主要对五化民政建设创新实验情况进行评估。目标值的确定依据主要是《湖南省</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十三五</w:t>
      </w:r>
      <w:r>
        <w:rPr>
          <w:rFonts w:ascii="Times New Roman" w:hAnsi="Times New Roman" w:eastAsia="仿宋" w:cs="Times New Roman"/>
          <w:color w:val="000000"/>
          <w:sz w:val="32"/>
          <w:szCs w:val="32"/>
        </w:rPr>
        <w:t>”</w:t>
      </w:r>
      <w:r>
        <w:rPr>
          <w:rFonts w:hint="eastAsia" w:ascii="Times New Roman" w:hAnsi="Times New Roman" w:eastAsia="仿宋" w:cs="仿宋"/>
          <w:color w:val="000000"/>
          <w:sz w:val="32"/>
          <w:szCs w:val="32"/>
        </w:rPr>
        <w:t>民政事业发展规划》。本项指标要求被评估县市区以五化思维为引领，立足某项工作或工作的某个方面，以构建体系、形成长效工作机制为目标，通过出台政策、建立制度、理顺机制、完善设施、加强保障、优化队伍等方式，打造在全省乃至全国都有一定影响力的民政品牌。各县市区可以在省厅确定的</w:t>
      </w:r>
      <w:r>
        <w:rPr>
          <w:rFonts w:ascii="Times New Roman" w:hAnsi="Times New Roman" w:eastAsia="仿宋" w:cs="Times New Roman"/>
          <w:color w:val="000000"/>
          <w:sz w:val="32"/>
          <w:szCs w:val="32"/>
        </w:rPr>
        <w:t>15</w:t>
      </w:r>
      <w:r>
        <w:rPr>
          <w:rFonts w:hint="eastAsia" w:ascii="Times New Roman" w:hAnsi="Times New Roman" w:eastAsia="仿宋" w:cs="仿宋"/>
          <w:color w:val="000000"/>
          <w:sz w:val="32"/>
          <w:szCs w:val="32"/>
        </w:rPr>
        <w:t>个创新实验主题中选择</w:t>
      </w:r>
      <w:r>
        <w:rPr>
          <w:rFonts w:ascii="Times New Roman" w:hAnsi="Times New Roman" w:eastAsia="仿宋" w:cs="Times New Roman"/>
          <w:color w:val="000000"/>
          <w:sz w:val="32"/>
          <w:szCs w:val="32"/>
        </w:rPr>
        <w:t>1</w:t>
      </w:r>
      <w:r>
        <w:rPr>
          <w:rFonts w:hint="eastAsia" w:ascii="Times New Roman" w:hAnsi="Times New Roman" w:eastAsia="仿宋" w:cs="仿宋"/>
          <w:color w:val="000000"/>
          <w:sz w:val="32"/>
          <w:szCs w:val="32"/>
        </w:rPr>
        <w:t>项，亦可立足本地实际自拟创新实验主题。创新实验方案必须明确项目名称、建设内容、完成时间等事项，要求把握规律性、具有创新性、富有可操作性，由省厅组织专家和相关处室局评审通过后实施。创新实验主题实施效果由省厅组织评估打分，分优秀（</w:t>
      </w:r>
      <w:r>
        <w:rPr>
          <w:rFonts w:ascii="Times New Roman" w:hAnsi="Times New Roman" w:eastAsia="仿宋" w:cs="Times New Roman"/>
          <w:color w:val="000000"/>
          <w:sz w:val="32"/>
          <w:szCs w:val="32"/>
        </w:rPr>
        <w:t>10-12</w:t>
      </w:r>
      <w:r>
        <w:rPr>
          <w:rFonts w:hint="eastAsia" w:ascii="Times New Roman" w:hAnsi="Times New Roman" w:eastAsia="仿宋" w:cs="仿宋"/>
          <w:color w:val="000000"/>
          <w:sz w:val="32"/>
          <w:szCs w:val="32"/>
        </w:rPr>
        <w:t>分）、良好（</w:t>
      </w:r>
      <w:r>
        <w:rPr>
          <w:rFonts w:ascii="Times New Roman" w:hAnsi="Times New Roman" w:eastAsia="仿宋" w:cs="Times New Roman"/>
          <w:color w:val="000000"/>
          <w:sz w:val="32"/>
          <w:szCs w:val="32"/>
        </w:rPr>
        <w:t>7-9</w:t>
      </w:r>
      <w:r>
        <w:rPr>
          <w:rFonts w:hint="eastAsia" w:ascii="Times New Roman" w:hAnsi="Times New Roman" w:eastAsia="仿宋" w:cs="仿宋"/>
          <w:color w:val="000000"/>
          <w:sz w:val="32"/>
          <w:szCs w:val="32"/>
        </w:rPr>
        <w:t>分）、一般（</w:t>
      </w:r>
      <w:r>
        <w:rPr>
          <w:rFonts w:ascii="Times New Roman" w:hAnsi="Times New Roman" w:eastAsia="仿宋" w:cs="Times New Roman"/>
          <w:color w:val="000000"/>
          <w:sz w:val="32"/>
          <w:szCs w:val="32"/>
        </w:rPr>
        <w:t>6</w:t>
      </w:r>
      <w:r>
        <w:rPr>
          <w:rFonts w:hint="eastAsia" w:ascii="Times New Roman" w:hAnsi="Times New Roman" w:eastAsia="仿宋" w:cs="仿宋"/>
          <w:color w:val="000000"/>
          <w:sz w:val="32"/>
          <w:szCs w:val="32"/>
        </w:rPr>
        <w:t>分以下）三个档次。</w:t>
      </w:r>
    </w:p>
    <w:p>
      <w:pPr>
        <w:spacing w:line="580" w:lineRule="exact"/>
        <w:rPr>
          <w:rFonts w:ascii="Times New Roman" w:hAnsi="Times New Roman" w:cs="Times New Roman"/>
          <w:color w:val="000000"/>
        </w:rPr>
      </w:pPr>
      <w:r>
        <w:rPr>
          <w:rFonts w:ascii="Times New Roman" w:hAnsi="Times New Roman" w:cs="Times New Roman"/>
          <w:color w:val="000000"/>
        </w:rPr>
        <w:t xml:space="preserve"> </w:t>
      </w:r>
    </w:p>
    <w:p>
      <w:pPr>
        <w:spacing w:line="580" w:lineRule="exact"/>
        <w:rPr>
          <w:rFonts w:ascii="Times New Roman" w:hAnsi="Times New Roman" w:eastAsia="仿宋_GB2312" w:cs="Times New Roman"/>
          <w:color w:val="000000"/>
          <w:sz w:val="32"/>
          <w:szCs w:val="32"/>
        </w:rPr>
      </w:pPr>
    </w:p>
    <w:p>
      <w:pPr>
        <w:spacing w:line="580" w:lineRule="exact"/>
        <w:rPr>
          <w:rFonts w:ascii="Times New Roman" w:hAnsi="Times New Roman" w:eastAsia="仿宋_GB2312" w:cs="Times New Roman"/>
          <w:color w:val="000000"/>
          <w:sz w:val="32"/>
          <w:szCs w:val="32"/>
        </w:rPr>
      </w:pPr>
    </w:p>
    <w:p>
      <w:pPr>
        <w:spacing w:line="580" w:lineRule="exact"/>
        <w:rPr>
          <w:rFonts w:ascii="Times New Roman" w:hAnsi="Times New Roman" w:eastAsia="仿宋_GB2312" w:cs="Times New Roman"/>
          <w:color w:val="000000"/>
          <w:sz w:val="32"/>
          <w:szCs w:val="32"/>
        </w:rPr>
      </w:pPr>
    </w:p>
    <w:p>
      <w:pPr>
        <w:spacing w:line="580" w:lineRule="exact"/>
        <w:rPr>
          <w:rFonts w:ascii="Times New Roman" w:hAnsi="Times New Roman" w:eastAsia="仿宋_GB2312" w:cs="Times New Roman"/>
          <w:color w:val="000000"/>
          <w:sz w:val="32"/>
          <w:szCs w:val="32"/>
        </w:rPr>
      </w:pPr>
    </w:p>
    <w:p>
      <w:pPr>
        <w:spacing w:line="580" w:lineRule="exact"/>
        <w:rPr>
          <w:rFonts w:ascii="Times New Roman" w:hAnsi="Times New Roman" w:eastAsia="仿宋_GB2312" w:cs="Times New Roman"/>
          <w:color w:val="000000"/>
          <w:sz w:val="32"/>
          <w:szCs w:val="32"/>
        </w:rPr>
      </w:pPr>
    </w:p>
    <w:p>
      <w:pPr>
        <w:spacing w:line="580" w:lineRule="exact"/>
        <w:rPr>
          <w:rFonts w:ascii="Times New Roman" w:hAnsi="Times New Roman" w:eastAsia="仿宋_GB2312" w:cs="Times New Roman"/>
          <w:color w:val="000000"/>
          <w:sz w:val="32"/>
          <w:szCs w:val="32"/>
        </w:rPr>
      </w:pPr>
    </w:p>
    <w:p>
      <w:pPr>
        <w:spacing w:line="580" w:lineRule="exact"/>
        <w:rPr>
          <w:rFonts w:ascii="Times New Roman" w:hAnsi="Times New Roman" w:eastAsia="仿宋_GB2312" w:cs="Times New Roman"/>
          <w:color w:val="000000"/>
          <w:sz w:val="32"/>
          <w:szCs w:val="32"/>
        </w:rPr>
      </w:pPr>
    </w:p>
    <w:p>
      <w:pPr>
        <w:spacing w:line="580" w:lineRule="exact"/>
        <w:rPr>
          <w:rFonts w:ascii="Times New Roman" w:hAnsi="Times New Roman" w:eastAsia="仿宋_GB2312" w:cs="Times New Roman"/>
          <w:color w:val="000000"/>
          <w:sz w:val="32"/>
          <w:szCs w:val="32"/>
        </w:rPr>
      </w:pPr>
    </w:p>
    <w:p>
      <w:pPr>
        <w:spacing w:line="580" w:lineRule="exact"/>
        <w:rPr>
          <w:rFonts w:ascii="Times New Roman" w:hAnsi="Times New Roman" w:eastAsia="仿宋_GB2312" w:cs="Times New Roman"/>
          <w:color w:val="000000"/>
          <w:sz w:val="32"/>
          <w:szCs w:val="32"/>
        </w:rPr>
      </w:pPr>
    </w:p>
    <w:p>
      <w:pPr>
        <w:spacing w:line="580" w:lineRule="exact"/>
        <w:rPr>
          <w:rFonts w:ascii="Times New Roman" w:hAnsi="Times New Roman" w:eastAsia="仿宋_GB2312" w:cs="Times New Roman"/>
          <w:color w:val="000000"/>
          <w:sz w:val="32"/>
          <w:szCs w:val="32"/>
        </w:rPr>
      </w:pPr>
    </w:p>
    <w:p>
      <w:pPr>
        <w:spacing w:line="580" w:lineRule="exact"/>
        <w:rPr>
          <w:rFonts w:ascii="Times New Roman" w:hAnsi="Times New Roman" w:eastAsia="仿宋_GB2312" w:cs="Times New Roman"/>
          <w:color w:val="000000"/>
          <w:sz w:val="32"/>
          <w:szCs w:val="32"/>
        </w:rPr>
      </w:pPr>
    </w:p>
    <w:p>
      <w:pPr>
        <w:spacing w:line="580" w:lineRule="exact"/>
        <w:rPr>
          <w:rFonts w:ascii="Times New Roman" w:hAnsi="Times New Roman" w:eastAsia="仿宋_GB2312" w:cs="Times New Roman"/>
          <w:color w:val="000000"/>
          <w:sz w:val="32"/>
          <w:szCs w:val="32"/>
        </w:rPr>
      </w:pPr>
    </w:p>
    <w:p>
      <w:pPr>
        <w:spacing w:line="680" w:lineRule="exact"/>
        <w:rPr>
          <w:rFonts w:ascii="Times New Roman" w:hAnsi="Times New Roman" w:eastAsia="仿宋_GB2312" w:cs="Times New Roman"/>
          <w:color w:val="000000"/>
          <w:sz w:val="32"/>
          <w:szCs w:val="32"/>
        </w:rPr>
      </w:pPr>
    </w:p>
    <w:tbl>
      <w:tblPr>
        <w:tblStyle w:val="7"/>
        <w:tblW w:w="8983" w:type="dxa"/>
        <w:jc w:val="center"/>
        <w:tblInd w:w="0" w:type="dxa"/>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8983"/>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983" w:type="dxa"/>
          </w:tcPr>
          <w:p>
            <w:pPr>
              <w:spacing w:line="520" w:lineRule="exact"/>
              <w:rPr>
                <w:rFonts w:ascii="Times New Roman" w:hAnsi="Times New Roman" w:eastAsia="仿宋_GB2312" w:cs="Times New Roman"/>
                <w:color w:val="000000"/>
                <w:sz w:val="28"/>
                <w:szCs w:val="28"/>
              </w:rPr>
            </w:pPr>
            <w:r>
              <w:rPr>
                <w:rFonts w:hint="eastAsia" w:ascii="Times New Roman" w:hAnsi="Times New Roman" w:eastAsia="仿宋_GB2312" w:cs="仿宋_GB2312"/>
                <w:color w:val="000000"/>
                <w:sz w:val="28"/>
                <w:szCs w:val="28"/>
              </w:rPr>
              <w:t>主动公开</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983" w:type="dxa"/>
          </w:tcPr>
          <w:p>
            <w:pPr>
              <w:spacing w:line="520" w:lineRule="exact"/>
              <w:rPr>
                <w:rFonts w:ascii="Times New Roman" w:hAnsi="Times New Roman" w:eastAsia="仿宋_GB2312" w:cs="Times New Roman"/>
                <w:color w:val="000000"/>
                <w:sz w:val="28"/>
                <w:szCs w:val="28"/>
              </w:rPr>
            </w:pPr>
            <w:r>
              <w:rPr>
                <w:rFonts w:hint="eastAsia" w:ascii="Times New Roman" w:hAnsi="Times New Roman" w:eastAsia="仿宋_GB2312" w:cs="仿宋_GB2312"/>
                <w:color w:val="000000"/>
                <w:sz w:val="28"/>
                <w:szCs w:val="28"/>
              </w:rPr>
              <w:t>湖南省民政厅办公室</w:t>
            </w:r>
            <w:r>
              <w:rPr>
                <w:rFonts w:ascii="Times New Roman" w:hAnsi="Times New Roman" w:eastAsia="仿宋_GB2312" w:cs="Times New Roman"/>
                <w:color w:val="000000"/>
                <w:sz w:val="28"/>
                <w:szCs w:val="28"/>
              </w:rPr>
              <w:t xml:space="preserve">                        2019</w:t>
            </w:r>
            <w:r>
              <w:rPr>
                <w:rFonts w:hint="eastAsia" w:ascii="Times New Roman" w:hAnsi="Times New Roman" w:eastAsia="仿宋_GB2312" w:cs="仿宋_GB2312"/>
                <w:color w:val="000000"/>
                <w:sz w:val="28"/>
                <w:szCs w:val="28"/>
              </w:rPr>
              <w:t>年</w:t>
            </w:r>
            <w:r>
              <w:rPr>
                <w:rFonts w:ascii="Times New Roman" w:hAnsi="Times New Roman" w:eastAsia="仿宋_GB2312" w:cs="Times New Roman"/>
                <w:color w:val="000000"/>
                <w:sz w:val="28"/>
                <w:szCs w:val="28"/>
              </w:rPr>
              <w:t>5</w:t>
            </w:r>
            <w:r>
              <w:rPr>
                <w:rFonts w:hint="eastAsia" w:ascii="Times New Roman" w:hAnsi="Times New Roman" w:eastAsia="仿宋_GB2312" w:cs="仿宋_GB2312"/>
                <w:color w:val="000000"/>
                <w:sz w:val="28"/>
                <w:szCs w:val="28"/>
              </w:rPr>
              <w:t>月</w:t>
            </w:r>
            <w:r>
              <w:rPr>
                <w:rFonts w:ascii="Times New Roman" w:hAnsi="Times New Roman" w:eastAsia="仿宋_GB2312" w:cs="Times New Roman"/>
                <w:color w:val="000000"/>
                <w:sz w:val="28"/>
                <w:szCs w:val="28"/>
              </w:rPr>
              <w:t>15</w:t>
            </w:r>
            <w:r>
              <w:rPr>
                <w:rFonts w:hint="eastAsia" w:ascii="Times New Roman" w:hAnsi="Times New Roman" w:eastAsia="仿宋_GB2312" w:cs="仿宋_GB2312"/>
                <w:color w:val="000000"/>
                <w:sz w:val="28"/>
                <w:szCs w:val="28"/>
              </w:rPr>
              <w:t>日印发</w:t>
            </w:r>
          </w:p>
        </w:tc>
      </w:tr>
    </w:tbl>
    <w:p>
      <w:pPr>
        <w:spacing w:line="20" w:lineRule="exact"/>
        <w:rPr>
          <w:rFonts w:ascii="Times New Roman" w:hAnsi="Times New Roman" w:eastAsia="仿宋_GB2312" w:cs="Times New Roman"/>
          <w:color w:val="000000"/>
          <w:sz w:val="32"/>
          <w:szCs w:val="32"/>
        </w:rPr>
      </w:pPr>
    </w:p>
    <w:sectPr>
      <w:footerReference r:id="rId3" w:type="default"/>
      <w:pgSz w:w="11907" w:h="16840"/>
      <w:pgMar w:top="2155" w:right="1474" w:bottom="1361" w:left="1588" w:header="0" w:footer="1418"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楷体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outside" w:y="1"/>
      <w:rPr>
        <w:rStyle w:val="10"/>
        <w:rFonts w:ascii="Times New Roman" w:hAnsi="Times New Roman" w:cs="Times New Roman"/>
        <w:sz w:val="28"/>
        <w:szCs w:val="28"/>
      </w:rPr>
    </w:pPr>
    <w:r>
      <w:rPr>
        <w:rStyle w:val="10"/>
        <w:rFonts w:ascii="Times New Roman" w:hAnsi="Times New Roman" w:cs="Times New Roman"/>
        <w:sz w:val="28"/>
        <w:szCs w:val="28"/>
      </w:rPr>
      <w:t xml:space="preserve">— </w:t>
    </w:r>
    <w:r>
      <w:rPr>
        <w:rStyle w:val="10"/>
        <w:rFonts w:ascii="Times New Roman" w:hAnsi="Times New Roman" w:cs="Times New Roman"/>
        <w:sz w:val="28"/>
        <w:szCs w:val="28"/>
      </w:rPr>
      <w:fldChar w:fldCharType="begin"/>
    </w:r>
    <w:r>
      <w:rPr>
        <w:rStyle w:val="10"/>
        <w:rFonts w:ascii="Times New Roman" w:hAnsi="Times New Roman" w:cs="Times New Roman"/>
        <w:sz w:val="28"/>
        <w:szCs w:val="28"/>
      </w:rPr>
      <w:instrText xml:space="preserve">PAGE  </w:instrText>
    </w:r>
    <w:r>
      <w:rPr>
        <w:rStyle w:val="10"/>
        <w:rFonts w:ascii="Times New Roman" w:hAnsi="Times New Roman" w:cs="Times New Roman"/>
        <w:sz w:val="28"/>
        <w:szCs w:val="28"/>
      </w:rPr>
      <w:fldChar w:fldCharType="separate"/>
    </w:r>
    <w:r>
      <w:rPr>
        <w:rStyle w:val="10"/>
        <w:rFonts w:ascii="Times New Roman" w:hAnsi="Times New Roman" w:cs="Times New Roman"/>
        <w:sz w:val="28"/>
        <w:szCs w:val="28"/>
      </w:rPr>
      <w:t>31</w:t>
    </w:r>
    <w:r>
      <w:rPr>
        <w:rStyle w:val="10"/>
        <w:rFonts w:ascii="Times New Roman" w:hAnsi="Times New Roman" w:cs="Times New Roman"/>
        <w:sz w:val="28"/>
        <w:szCs w:val="28"/>
      </w:rPr>
      <w:fldChar w:fldCharType="end"/>
    </w:r>
    <w:r>
      <w:rPr>
        <w:rStyle w:val="10"/>
        <w:rFonts w:ascii="Times New Roman" w:hAnsi="Times New Roman" w:cs="Times New Roman"/>
        <w:sz w:val="28"/>
        <w:szCs w:val="28"/>
      </w:rPr>
      <w:t xml:space="preserve"> —</w:t>
    </w:r>
  </w:p>
  <w:p>
    <w:pPr>
      <w:pStyle w:val="5"/>
      <w:ind w:right="360" w:firstLine="360"/>
      <w:rPr>
        <w:rFonts w:cs="Times New Roman"/>
      </w:rPr>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oNotHyphenateCaps/>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25216"/>
    <w:rsid w:val="0000241C"/>
    <w:rsid w:val="000031D6"/>
    <w:rsid w:val="000124CA"/>
    <w:rsid w:val="0002097E"/>
    <w:rsid w:val="00025216"/>
    <w:rsid w:val="00025507"/>
    <w:rsid w:val="00030E29"/>
    <w:rsid w:val="00031E81"/>
    <w:rsid w:val="00031F5E"/>
    <w:rsid w:val="00035D9B"/>
    <w:rsid w:val="000428E9"/>
    <w:rsid w:val="000429B3"/>
    <w:rsid w:val="00055414"/>
    <w:rsid w:val="000561F1"/>
    <w:rsid w:val="00064F6A"/>
    <w:rsid w:val="00070E78"/>
    <w:rsid w:val="00082C45"/>
    <w:rsid w:val="000964E8"/>
    <w:rsid w:val="000B4885"/>
    <w:rsid w:val="000C07E2"/>
    <w:rsid w:val="000D7F0A"/>
    <w:rsid w:val="000E3625"/>
    <w:rsid w:val="000E651C"/>
    <w:rsid w:val="000F5B2F"/>
    <w:rsid w:val="000F5BE9"/>
    <w:rsid w:val="000F7C3A"/>
    <w:rsid w:val="001157B9"/>
    <w:rsid w:val="00116F00"/>
    <w:rsid w:val="00132BD6"/>
    <w:rsid w:val="001574B5"/>
    <w:rsid w:val="00161A17"/>
    <w:rsid w:val="00180634"/>
    <w:rsid w:val="00187BF1"/>
    <w:rsid w:val="001930E1"/>
    <w:rsid w:val="001A0D5D"/>
    <w:rsid w:val="001A1BEC"/>
    <w:rsid w:val="001B166B"/>
    <w:rsid w:val="001C24B2"/>
    <w:rsid w:val="001D6A75"/>
    <w:rsid w:val="001D7370"/>
    <w:rsid w:val="001D7A19"/>
    <w:rsid w:val="001E25FB"/>
    <w:rsid w:val="001F2AFE"/>
    <w:rsid w:val="001F5168"/>
    <w:rsid w:val="00201344"/>
    <w:rsid w:val="002070E5"/>
    <w:rsid w:val="00216873"/>
    <w:rsid w:val="00232957"/>
    <w:rsid w:val="00233F28"/>
    <w:rsid w:val="00237DC3"/>
    <w:rsid w:val="002465A6"/>
    <w:rsid w:val="002508FB"/>
    <w:rsid w:val="00252086"/>
    <w:rsid w:val="00254CA6"/>
    <w:rsid w:val="00257AA6"/>
    <w:rsid w:val="00274376"/>
    <w:rsid w:val="00280598"/>
    <w:rsid w:val="00282D52"/>
    <w:rsid w:val="00283711"/>
    <w:rsid w:val="00287A2B"/>
    <w:rsid w:val="00296BF4"/>
    <w:rsid w:val="002A256D"/>
    <w:rsid w:val="002A5700"/>
    <w:rsid w:val="002A6169"/>
    <w:rsid w:val="002E1F30"/>
    <w:rsid w:val="002E5FFB"/>
    <w:rsid w:val="002F7EAA"/>
    <w:rsid w:val="00310683"/>
    <w:rsid w:val="003116DA"/>
    <w:rsid w:val="00314AC8"/>
    <w:rsid w:val="003200BE"/>
    <w:rsid w:val="003204D3"/>
    <w:rsid w:val="0032094D"/>
    <w:rsid w:val="00324D96"/>
    <w:rsid w:val="003266B8"/>
    <w:rsid w:val="00327F7C"/>
    <w:rsid w:val="003646E1"/>
    <w:rsid w:val="003654BC"/>
    <w:rsid w:val="003676C8"/>
    <w:rsid w:val="00370921"/>
    <w:rsid w:val="003820F5"/>
    <w:rsid w:val="0039766A"/>
    <w:rsid w:val="00397C45"/>
    <w:rsid w:val="003B3948"/>
    <w:rsid w:val="003D13AD"/>
    <w:rsid w:val="003D33D8"/>
    <w:rsid w:val="003E3955"/>
    <w:rsid w:val="003E6238"/>
    <w:rsid w:val="003F19F4"/>
    <w:rsid w:val="00434047"/>
    <w:rsid w:val="00450271"/>
    <w:rsid w:val="00487E61"/>
    <w:rsid w:val="00496665"/>
    <w:rsid w:val="004A021D"/>
    <w:rsid w:val="004A04D1"/>
    <w:rsid w:val="004D7168"/>
    <w:rsid w:val="00521DC9"/>
    <w:rsid w:val="00522CBF"/>
    <w:rsid w:val="00524A6A"/>
    <w:rsid w:val="00530A51"/>
    <w:rsid w:val="00542D48"/>
    <w:rsid w:val="00552FA0"/>
    <w:rsid w:val="00556E10"/>
    <w:rsid w:val="005724A3"/>
    <w:rsid w:val="00572E4B"/>
    <w:rsid w:val="00576108"/>
    <w:rsid w:val="00582AE8"/>
    <w:rsid w:val="00583711"/>
    <w:rsid w:val="00586EE4"/>
    <w:rsid w:val="00593B5B"/>
    <w:rsid w:val="005B1CC8"/>
    <w:rsid w:val="005B530C"/>
    <w:rsid w:val="005E0F6B"/>
    <w:rsid w:val="005E5627"/>
    <w:rsid w:val="005F469F"/>
    <w:rsid w:val="005F4865"/>
    <w:rsid w:val="005F557C"/>
    <w:rsid w:val="005F5D95"/>
    <w:rsid w:val="00616673"/>
    <w:rsid w:val="00633653"/>
    <w:rsid w:val="00635DE9"/>
    <w:rsid w:val="006372F7"/>
    <w:rsid w:val="006406A5"/>
    <w:rsid w:val="00641184"/>
    <w:rsid w:val="006436E8"/>
    <w:rsid w:val="006452AE"/>
    <w:rsid w:val="00646E57"/>
    <w:rsid w:val="00655C8D"/>
    <w:rsid w:val="006654C8"/>
    <w:rsid w:val="00670640"/>
    <w:rsid w:val="00674504"/>
    <w:rsid w:val="00677D17"/>
    <w:rsid w:val="006A6C95"/>
    <w:rsid w:val="006B5CBA"/>
    <w:rsid w:val="006B7BDD"/>
    <w:rsid w:val="006C37C5"/>
    <w:rsid w:val="006D2B0C"/>
    <w:rsid w:val="006E509F"/>
    <w:rsid w:val="006E6A65"/>
    <w:rsid w:val="007004D8"/>
    <w:rsid w:val="007314E5"/>
    <w:rsid w:val="00733A39"/>
    <w:rsid w:val="00735314"/>
    <w:rsid w:val="0074446E"/>
    <w:rsid w:val="00746D4A"/>
    <w:rsid w:val="0075036D"/>
    <w:rsid w:val="0076369F"/>
    <w:rsid w:val="00775A2C"/>
    <w:rsid w:val="00796C96"/>
    <w:rsid w:val="007A094C"/>
    <w:rsid w:val="007B06DF"/>
    <w:rsid w:val="007B4361"/>
    <w:rsid w:val="007C325E"/>
    <w:rsid w:val="007D0746"/>
    <w:rsid w:val="007D7C30"/>
    <w:rsid w:val="007E30BE"/>
    <w:rsid w:val="007E50AC"/>
    <w:rsid w:val="00805B32"/>
    <w:rsid w:val="008114BB"/>
    <w:rsid w:val="0081228E"/>
    <w:rsid w:val="008201CE"/>
    <w:rsid w:val="0082435A"/>
    <w:rsid w:val="00825A78"/>
    <w:rsid w:val="00834F4E"/>
    <w:rsid w:val="00840607"/>
    <w:rsid w:val="008408A9"/>
    <w:rsid w:val="008450F0"/>
    <w:rsid w:val="00851B25"/>
    <w:rsid w:val="00857330"/>
    <w:rsid w:val="0086774F"/>
    <w:rsid w:val="00877A32"/>
    <w:rsid w:val="008869B8"/>
    <w:rsid w:val="00886ADD"/>
    <w:rsid w:val="008A7BF5"/>
    <w:rsid w:val="008A7E25"/>
    <w:rsid w:val="008C02FA"/>
    <w:rsid w:val="008C0512"/>
    <w:rsid w:val="008D038E"/>
    <w:rsid w:val="008D475D"/>
    <w:rsid w:val="008E35A8"/>
    <w:rsid w:val="008E7FA4"/>
    <w:rsid w:val="008F2CA7"/>
    <w:rsid w:val="008F3651"/>
    <w:rsid w:val="008F56F0"/>
    <w:rsid w:val="0093335C"/>
    <w:rsid w:val="009334BE"/>
    <w:rsid w:val="00936403"/>
    <w:rsid w:val="0096129C"/>
    <w:rsid w:val="009A5622"/>
    <w:rsid w:val="009A750B"/>
    <w:rsid w:val="009B6B4D"/>
    <w:rsid w:val="009C2C24"/>
    <w:rsid w:val="009E5C0F"/>
    <w:rsid w:val="00A174E6"/>
    <w:rsid w:val="00A21179"/>
    <w:rsid w:val="00A25E89"/>
    <w:rsid w:val="00A355D7"/>
    <w:rsid w:val="00A42D54"/>
    <w:rsid w:val="00A624F3"/>
    <w:rsid w:val="00A80D36"/>
    <w:rsid w:val="00A92083"/>
    <w:rsid w:val="00A92BBA"/>
    <w:rsid w:val="00A9544B"/>
    <w:rsid w:val="00A97327"/>
    <w:rsid w:val="00AB33FF"/>
    <w:rsid w:val="00AB36AF"/>
    <w:rsid w:val="00AC528A"/>
    <w:rsid w:val="00AD237A"/>
    <w:rsid w:val="00AE0A03"/>
    <w:rsid w:val="00AE21E4"/>
    <w:rsid w:val="00AE2928"/>
    <w:rsid w:val="00B2184D"/>
    <w:rsid w:val="00B3038A"/>
    <w:rsid w:val="00B34710"/>
    <w:rsid w:val="00B4126E"/>
    <w:rsid w:val="00B67AB3"/>
    <w:rsid w:val="00B73446"/>
    <w:rsid w:val="00B745BF"/>
    <w:rsid w:val="00B87CE3"/>
    <w:rsid w:val="00BB26B4"/>
    <w:rsid w:val="00BC1392"/>
    <w:rsid w:val="00BC30C7"/>
    <w:rsid w:val="00BD1055"/>
    <w:rsid w:val="00BD49C0"/>
    <w:rsid w:val="00BD791E"/>
    <w:rsid w:val="00BE1533"/>
    <w:rsid w:val="00C07FAB"/>
    <w:rsid w:val="00C123D5"/>
    <w:rsid w:val="00C34DB6"/>
    <w:rsid w:val="00C42CA1"/>
    <w:rsid w:val="00C47775"/>
    <w:rsid w:val="00C500E1"/>
    <w:rsid w:val="00C52828"/>
    <w:rsid w:val="00C566CD"/>
    <w:rsid w:val="00C608C8"/>
    <w:rsid w:val="00C660E7"/>
    <w:rsid w:val="00C764E9"/>
    <w:rsid w:val="00C8319C"/>
    <w:rsid w:val="00C95307"/>
    <w:rsid w:val="00CA68BF"/>
    <w:rsid w:val="00CC5DD0"/>
    <w:rsid w:val="00CC737B"/>
    <w:rsid w:val="00D02DD6"/>
    <w:rsid w:val="00D041D1"/>
    <w:rsid w:val="00D05FD9"/>
    <w:rsid w:val="00D13ED1"/>
    <w:rsid w:val="00D14750"/>
    <w:rsid w:val="00D23FFB"/>
    <w:rsid w:val="00D40008"/>
    <w:rsid w:val="00D61FBF"/>
    <w:rsid w:val="00D61FF6"/>
    <w:rsid w:val="00D93836"/>
    <w:rsid w:val="00DB7F9A"/>
    <w:rsid w:val="00DC20D2"/>
    <w:rsid w:val="00DC4E7B"/>
    <w:rsid w:val="00DD28E3"/>
    <w:rsid w:val="00DD69E0"/>
    <w:rsid w:val="00DE3549"/>
    <w:rsid w:val="00E14DF5"/>
    <w:rsid w:val="00E31B08"/>
    <w:rsid w:val="00E3310C"/>
    <w:rsid w:val="00E33E0A"/>
    <w:rsid w:val="00E4734A"/>
    <w:rsid w:val="00E47917"/>
    <w:rsid w:val="00E60837"/>
    <w:rsid w:val="00E70B64"/>
    <w:rsid w:val="00E9143A"/>
    <w:rsid w:val="00E91CBF"/>
    <w:rsid w:val="00E92CFB"/>
    <w:rsid w:val="00E95EF0"/>
    <w:rsid w:val="00EA0974"/>
    <w:rsid w:val="00EB0B42"/>
    <w:rsid w:val="00ED6E91"/>
    <w:rsid w:val="00EE4031"/>
    <w:rsid w:val="00EE5115"/>
    <w:rsid w:val="00F0155D"/>
    <w:rsid w:val="00F02214"/>
    <w:rsid w:val="00F04373"/>
    <w:rsid w:val="00F12BF9"/>
    <w:rsid w:val="00F13D26"/>
    <w:rsid w:val="00F13D84"/>
    <w:rsid w:val="00F26388"/>
    <w:rsid w:val="00F26EDF"/>
    <w:rsid w:val="00F42793"/>
    <w:rsid w:val="00F5146A"/>
    <w:rsid w:val="00F635C7"/>
    <w:rsid w:val="00F7753B"/>
    <w:rsid w:val="00F828A7"/>
    <w:rsid w:val="00FB0063"/>
    <w:rsid w:val="00FB3461"/>
    <w:rsid w:val="00FC661B"/>
    <w:rsid w:val="00FD03D4"/>
    <w:rsid w:val="00FD0B9E"/>
    <w:rsid w:val="00FD3D99"/>
    <w:rsid w:val="00FD6CFD"/>
    <w:rsid w:val="00FF10D7"/>
    <w:rsid w:val="01893AC2"/>
    <w:rsid w:val="106E535A"/>
    <w:rsid w:val="11287A72"/>
    <w:rsid w:val="1E415803"/>
    <w:rsid w:val="1E9549D3"/>
    <w:rsid w:val="23697908"/>
    <w:rsid w:val="2A5638D2"/>
    <w:rsid w:val="2B4270CF"/>
    <w:rsid w:val="2D520635"/>
    <w:rsid w:val="2FAA7BDA"/>
    <w:rsid w:val="33C46219"/>
    <w:rsid w:val="3A250C74"/>
    <w:rsid w:val="43320E48"/>
    <w:rsid w:val="4961222F"/>
    <w:rsid w:val="51AD2DDA"/>
    <w:rsid w:val="53420B63"/>
    <w:rsid w:val="55AE080F"/>
    <w:rsid w:val="596C0D85"/>
    <w:rsid w:val="62780D06"/>
    <w:rsid w:val="6551437F"/>
    <w:rsid w:val="7C596A42"/>
    <w:rsid w:val="7DBD5FE1"/>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unhideWhenUsed="0" w:uiPriority="99" w:name="header"/>
    <w:lsdException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nhideWhenUsed="0"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nhideWhenUsed="0" w:uiPriority="99" w:name="Default Paragraph Font"/>
    <w:lsdException w:unhideWhenUsed="0"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nhideWhenUsed="0" w:uiPriority="99"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nhideWhenUsed="0" w:uiPriority="99" w:semiHidden="0"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99" w:name="Balloon Text"/>
    <w:lsdException w:unhideWhenUsed="0" w:uiPriority="99"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Calibri"/>
      <w:kern w:val="2"/>
      <w:sz w:val="21"/>
      <w:szCs w:val="21"/>
      <w:lang w:val="en-US" w:eastAsia="zh-CN" w:bidi="ar-SA"/>
    </w:rPr>
  </w:style>
  <w:style w:type="character" w:default="1" w:styleId="9">
    <w:name w:val="Default Paragraph Font"/>
    <w:semiHidden/>
    <w:uiPriority w:val="99"/>
  </w:style>
  <w:style w:type="table" w:default="1" w:styleId="7">
    <w:name w:val="Normal Table"/>
    <w:semiHidden/>
    <w:unhideWhenUsed/>
    <w:qFormat/>
    <w:uiPriority w:val="99"/>
    <w:tblPr>
      <w:tblLayout w:type="fixed"/>
      <w:tblCellMar>
        <w:top w:w="0" w:type="dxa"/>
        <w:left w:w="108" w:type="dxa"/>
        <w:bottom w:w="0" w:type="dxa"/>
        <w:right w:w="108" w:type="dxa"/>
      </w:tblCellMar>
    </w:tblPr>
  </w:style>
  <w:style w:type="paragraph" w:styleId="2">
    <w:name w:val="Body Text"/>
    <w:basedOn w:val="1"/>
    <w:link w:val="15"/>
    <w:uiPriority w:val="99"/>
    <w:pPr>
      <w:autoSpaceDE w:val="0"/>
      <w:autoSpaceDN w:val="0"/>
      <w:jc w:val="left"/>
    </w:pPr>
    <w:rPr>
      <w:rFonts w:ascii="方正小标宋简体" w:hAnsi="方正小标宋简体" w:eastAsia="方正小标宋简体" w:cs="方正小标宋简体"/>
      <w:kern w:val="0"/>
      <w:sz w:val="52"/>
      <w:szCs w:val="52"/>
      <w:lang w:eastAsia="en-US"/>
    </w:rPr>
  </w:style>
  <w:style w:type="paragraph" w:styleId="3">
    <w:name w:val="Date"/>
    <w:basedOn w:val="1"/>
    <w:next w:val="1"/>
    <w:link w:val="16"/>
    <w:uiPriority w:val="99"/>
    <w:pPr>
      <w:ind w:left="100" w:leftChars="2500"/>
    </w:pPr>
  </w:style>
  <w:style w:type="paragraph" w:styleId="4">
    <w:name w:val="Balloon Text"/>
    <w:basedOn w:val="1"/>
    <w:link w:val="14"/>
    <w:semiHidden/>
    <w:uiPriority w:val="99"/>
    <w:rPr>
      <w:sz w:val="18"/>
      <w:szCs w:val="18"/>
    </w:rPr>
  </w:style>
  <w:style w:type="paragraph" w:styleId="5">
    <w:name w:val="footer"/>
    <w:basedOn w:val="1"/>
    <w:link w:val="12"/>
    <w:uiPriority w:val="99"/>
    <w:pPr>
      <w:tabs>
        <w:tab w:val="center" w:pos="4153"/>
        <w:tab w:val="right" w:pos="8306"/>
      </w:tabs>
      <w:snapToGrid w:val="0"/>
      <w:jc w:val="left"/>
    </w:pPr>
    <w:rPr>
      <w:sz w:val="18"/>
      <w:szCs w:val="18"/>
    </w:rPr>
  </w:style>
  <w:style w:type="paragraph" w:styleId="6">
    <w:name w:val="header"/>
    <w:basedOn w:val="1"/>
    <w:link w:val="13"/>
    <w:semiHidden/>
    <w:uiPriority w:val="99"/>
    <w:pPr>
      <w:pBdr>
        <w:bottom w:val="single" w:color="auto" w:sz="6" w:space="1"/>
      </w:pBdr>
      <w:tabs>
        <w:tab w:val="center" w:pos="4153"/>
        <w:tab w:val="right" w:pos="8306"/>
      </w:tabs>
      <w:snapToGrid w:val="0"/>
      <w:jc w:val="center"/>
    </w:pPr>
    <w:rPr>
      <w:sz w:val="18"/>
      <w:szCs w:val="18"/>
    </w:rPr>
  </w:style>
  <w:style w:type="table" w:styleId="8">
    <w:name w:val="Table Grid"/>
    <w:basedOn w:val="7"/>
    <w:locked/>
    <w:uiPriority w:val="99"/>
    <w:pPr>
      <w:widowControl w:val="0"/>
      <w:jc w:val="both"/>
    </w:pPr>
    <w:rPr>
      <w:rFonts w:cs="Calibri"/>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styleId="10">
    <w:name w:val="page number"/>
    <w:basedOn w:val="9"/>
    <w:uiPriority w:val="99"/>
  </w:style>
  <w:style w:type="character" w:styleId="11">
    <w:name w:val="Hyperlink"/>
    <w:basedOn w:val="9"/>
    <w:uiPriority w:val="99"/>
    <w:rPr>
      <w:color w:val="0000FF"/>
      <w:u w:val="single"/>
    </w:rPr>
  </w:style>
  <w:style w:type="character" w:customStyle="1" w:styleId="12">
    <w:name w:val="Footer Char"/>
    <w:basedOn w:val="9"/>
    <w:link w:val="5"/>
    <w:locked/>
    <w:uiPriority w:val="99"/>
    <w:rPr>
      <w:sz w:val="18"/>
      <w:szCs w:val="18"/>
    </w:rPr>
  </w:style>
  <w:style w:type="character" w:customStyle="1" w:styleId="13">
    <w:name w:val="Header Char"/>
    <w:basedOn w:val="9"/>
    <w:link w:val="6"/>
    <w:semiHidden/>
    <w:locked/>
    <w:uiPriority w:val="99"/>
    <w:rPr>
      <w:sz w:val="18"/>
      <w:szCs w:val="18"/>
    </w:rPr>
  </w:style>
  <w:style w:type="character" w:customStyle="1" w:styleId="14">
    <w:name w:val="Balloon Text Char"/>
    <w:basedOn w:val="9"/>
    <w:link w:val="4"/>
    <w:semiHidden/>
    <w:locked/>
    <w:uiPriority w:val="99"/>
    <w:rPr>
      <w:kern w:val="2"/>
      <w:sz w:val="18"/>
      <w:szCs w:val="18"/>
    </w:rPr>
  </w:style>
  <w:style w:type="character" w:customStyle="1" w:styleId="15">
    <w:name w:val="Body Text Char"/>
    <w:basedOn w:val="9"/>
    <w:link w:val="2"/>
    <w:semiHidden/>
    <w:locked/>
    <w:uiPriority w:val="99"/>
    <w:rPr>
      <w:rFonts w:ascii="方正小标宋简体" w:hAnsi="方正小标宋简体" w:eastAsia="方正小标宋简体" w:cs="方正小标宋简体"/>
      <w:sz w:val="52"/>
      <w:szCs w:val="52"/>
      <w:lang w:val="en-US" w:eastAsia="en-US"/>
    </w:rPr>
  </w:style>
  <w:style w:type="character" w:customStyle="1" w:styleId="16">
    <w:name w:val="Date Char"/>
    <w:basedOn w:val="9"/>
    <w:link w:val="3"/>
    <w:semiHidden/>
    <w:locked/>
    <w:uiPriority w:val="99"/>
    <w:rPr>
      <w:sz w:val="21"/>
      <w:szCs w:val="21"/>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Company>Sky123.Org</Company>
  <Pages>31</Pages>
  <Words>2915</Words>
  <Characters>16618</Characters>
  <Lines>0</Lines>
  <Paragraphs>0</Paragraphs>
  <TotalTime>988</TotalTime>
  <ScaleCrop>false</ScaleCrop>
  <LinksUpToDate>false</LinksUpToDate>
  <CharactersWithSpaces>0</CharactersWithSpaces>
  <Application>WPS Office_11.3.0.8632_F1E327BC-269C-435d-A152-05C5408002CA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2019-04-12T07:41:00Z</dcterms:created>
  <dc:creator>Windows 用户</dc:creator>
  <cp:lastModifiedBy>向日葵</cp:lastModifiedBy>
  <cp:lastPrinted>2019-05-15T08:46:00Z</cp:lastPrinted>
  <dcterms:modified xsi:type="dcterms:W3CDTF">2019-12-11T06:42:18Z</dcterms:modified>
  <cp:revision>121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2052-11.3.0.8632</vt:lpwstr>
  </property>
</Properties>
</file>