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湖南省民政厅  湖南省发展和改革委员会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center"/>
        <w:textAlignment w:val="auto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湖南省财政厅 </w:t>
      </w: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:lang w:eastAsia="zh-CN"/>
          <w14:textFill>
            <w14:solidFill>
              <w14:schemeClr w14:val="tx1"/>
            </w14:solidFill>
          </w14:textFill>
        </w:rPr>
        <w:t>关于印发</w:t>
      </w: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  <w:t>湖南省</w:t>
      </w: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  <w:t>民营养老机构运营管理操作指引</w:t>
      </w: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:lang w:eastAsia="zh-CN"/>
          <w14:textFill>
            <w14:solidFill>
              <w14:schemeClr w14:val="tx1"/>
            </w14:solidFill>
          </w14:textFill>
        </w:rPr>
        <w:t>的通知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rPr>
          <w:rFonts w:hint="default"/>
          <w:color w:val="000000" w:themeColor="text1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（征求意见稿）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baseline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各市州、县市区民政局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、发展和改革委、财政局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为贯彻落实《国务院办公厅关于推进养老服务发展的意见》（国办发〔2019〕5号）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《湖南省人民政府办公厅关于促进养老服务业高质量发展的实施意见》（湘政发〔2020〕59号）精神，进一步规范养老机构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民营行为，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现制定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民营养老机构运营管理操作指引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，请遵照执行。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center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湖南省民政厅    湖南省发展和改革委员会   湖南省财政厅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baseline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baseline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baseline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both"/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baseline"/>
        <w:rPr>
          <w:rFonts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:lang w:eastAsia="zh-CN"/>
          <w14:textFill>
            <w14:solidFill>
              <w14:schemeClr w14:val="tx1"/>
            </w14:solidFill>
          </w14:textFill>
        </w:rPr>
        <w:t>湖</w:t>
      </w: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  <w:t>南省</w:t>
      </w:r>
      <w:r>
        <w:rPr>
          <w:rFonts w:hint="eastAsia" w:ascii="Times New Roman" w:hAnsi="Times New Roman" w:eastAsia="方正小标宋简体"/>
          <w:color w:val="000000" w:themeColor="text1"/>
          <w:sz w:val="44"/>
          <w:szCs w:val="44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  <w:t>民营养老机构运营管理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baseline"/>
        <w:rPr>
          <w:rFonts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简体"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  <w:t>操作指引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jc w:val="center"/>
        <w:textAlignment w:val="baseline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jc w:val="center"/>
        <w:textAlignment w:val="baseline"/>
        <w:rPr>
          <w:rFonts w:hint="default" w:ascii="Times New Roman" w:hAnsi="Times New Roman" w:eastAsia="仿宋_GB2312"/>
          <w:b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一、基本原则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0" w:beforeAutospacing="0" w:after="0" w:afterAutospacing="0" w:line="580" w:lineRule="exact"/>
        <w:ind w:left="0" w:right="0" w:firstLine="420"/>
        <w:jc w:val="both"/>
        <w:rPr>
          <w:color w:val="000000" w:themeColor="text1"/>
          <w:sz w:val="40"/>
          <w:szCs w:val="40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一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民营养老机构是指政府拥有所有权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以集中供养特困人员为主责主业，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通过公开招投标方式，以承包、委托、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租赁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等形式，交由企业或社会组织运营，为老年人提供集中居住和照料服务的养老机构。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二、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公办养老机构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是否实施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民营，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由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县级以上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民政部门提请同级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人民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政府决定，公办养老机构所有权方（以下简称“产权方”）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所在地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民政部门负责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民营的组织、实施和监督管理。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民营养老机构应坚持公益属性不变、服务用途不改变、服务水平不降低、国有资产不流失、业务监管不缺失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民营养老机构应履行好兜底保障职能和基本养老服务职能，在满足当前和今后一个时期特困人员集中供养需求的前提下，优先保障经济困难的孤寡、失能、高龄、计划生育特殊家庭等老年人的养老服务需求，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剩余床位允许向社会开放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五、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民营养老机构应按照合同协议开展养老服务，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不得超范围运营，不得借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民营、医养结合之名改变养老服务根本属性，不得将公办机构挪为他用。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六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民营养老机构应按照“管办分离”原则，市县老年人福利中心和县市区民政部门主管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的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中心敬老院由同级民政部门主管，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乡镇敬老院由同级乡镇街道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或县级民政部门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主管，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其他有关部门依据职责分工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依法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监管。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center"/>
        <w:textAlignment w:val="baseline"/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center"/>
        <w:textAlignment w:val="baseline"/>
        <w:rPr>
          <w:rFonts w:hint="default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二、组织实施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七</w:t>
      </w:r>
      <w:r>
        <w:rPr>
          <w:rFonts w:hint="default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产权方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应当按规定在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民营实施前对公办养老机构进行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资产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清查和评估，委托具有资质的第三方中介机构出具资产评估报告，做到产权明晰，保持土地、设施设备等国有资产性质不改变。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cs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八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产</w:t>
      </w:r>
      <w:r>
        <w:rPr>
          <w:rFonts w:hint="eastAsia" w:ascii="Times New Roman" w:hAnsi="Times New Roman" w:eastAsia="仿宋_GB2312" w:cs="宋体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权方负责组织拟定招标文件，经征求同级</w:t>
      </w:r>
      <w:r>
        <w:rPr>
          <w:rFonts w:hint="eastAsia" w:ascii="Times New Roman" w:hAnsi="Times New Roman" w:eastAsia="仿宋_GB2312" w:cs="宋体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相关部门</w:t>
      </w:r>
      <w:r>
        <w:rPr>
          <w:rFonts w:hint="eastAsia" w:ascii="Times New Roman" w:hAnsi="Times New Roman" w:eastAsia="仿宋_GB2312" w:cs="宋体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意见，向社会发布招标公告。按照法定程序，组织或委托专业机构公开招标，确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定运营主体（以下简称“运营方”），做到公开</w:t>
      </w:r>
      <w:r>
        <w:rPr>
          <w:rFonts w:hint="eastAsia" w:ascii="仿宋_GB2312" w:hAnsi="仿宋_GB2312" w:cs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公平、公正。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鼓励</w:t>
      </w:r>
      <w:r>
        <w:rPr>
          <w:rFonts w:hint="eastAsia" w:eastAsia="仿宋_GB2312"/>
          <w:color w:val="000000" w:themeColor="text1"/>
          <w:spacing w:val="-6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养老服务领域专业能力较强的运营机构早期介入、全程参与委托经营的养老机构项目工程建设。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九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、运营方应当具备以下条件：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1.具备独立法人资格；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2.具有专业养老服务团队和3年以上养老服务管理经验；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3.具有与其服务内容和规模相适应的经济实力；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4.无违法违规和失信记录；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5.法定代表人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、主要股东（董事）、管理负责人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无金融犯罪和其他犯罪记录；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6.需要明确的其他条件。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center"/>
        <w:textAlignment w:val="baseline"/>
        <w:rPr>
          <w:rFonts w:hint="eastAsia" w:ascii="黑体" w:hAnsi="黑体" w:eastAsia="黑体" w:cs="黑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center"/>
        <w:textAlignment w:val="baseline"/>
        <w:rPr>
          <w:rFonts w:hint="eastAsia" w:ascii="黑体" w:hAnsi="黑体" w:eastAsia="黑体" w:cs="黑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三、合同管理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十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、产权方与运营方签订运营合同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时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应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明确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合作方式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合作期限、供养人员保障、资产投入、设施移交、维护修缮、权利义务、法律责任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、风险防控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合同解除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方式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纠纷解决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方式等内容。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应结合实际，科学划定床位比例接收特困供养对象，一般不低于总床位的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0%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十一、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合同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约定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最长合作期限不得超过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；需超过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7年的，经行政主管部门、财政部门审核报当地人民政府批准后实施。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default" w:ascii="黑体" w:hAnsi="黑体" w:eastAsia="黑体" w:cs="黑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十二、为加强风险防控，在合同签订时，双方可约定运营方向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所有权方一次性缴纳一定数额的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风险保证金，按照该机构国有固定资产投资（包括设施建设安装费、设备购置费）的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一定比例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计算，主要用于运营方造成的设施设备异常损坏的赔偿，运营方异常退出的风险化解等，并实行专款专用、专项核算。合同期满后，未出现上述异常情况的将予以全额退还。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十三、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运营方合同期未满退出应提前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6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个月向产权方提出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书面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申请，由有关部门对其资产、财务等进行审计。符合有关要求的，办理解除合同等相关手续，并向社会公示。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十四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合同一般应约定，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运营方有下列情形之一，产权方有权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要求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其限期整改，情节严重的，解除合同，并依法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追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究其法律责任。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未经产权方同意，擅自变更法人代表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（股东、主要负责人等）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或转让、转包、转租的；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擅自改变经营范围的；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（三）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损毁设施或改变设施用途的，无法保障养老设施设备正常运转的；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（四）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违反有关规定，乱收费的；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（五）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无法保障工作人员工资及福利待遇的；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（六）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发布虚假广告、非法集资骗取钱财或诈骗的；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（七）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造成重大安全责任事故的；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pacing w:val="-6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（八）</w:t>
      </w:r>
      <w:r>
        <w:rPr>
          <w:rFonts w:ascii="Times New Roman" w:hAnsi="Times New Roman" w:eastAsia="仿宋_GB2312"/>
          <w:color w:val="000000" w:themeColor="text1"/>
          <w:spacing w:val="-6"/>
          <w:sz w:val="32"/>
          <w:szCs w:val="32"/>
          <w:u w:val="none"/>
          <w14:textFill>
            <w14:solidFill>
              <w14:schemeClr w14:val="tx1"/>
            </w14:solidFill>
          </w14:textFill>
        </w:rPr>
        <w:t>入住老年人以及社会公众满意度测评、年审不合格的；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（九）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歧视、侮辱、虐待老年人的；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（十）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违反国家法律法规的其他情形。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80" w:lineRule="exact"/>
        <w:ind w:right="0" w:firstLine="640" w:firstLineChars="200"/>
        <w:jc w:val="center"/>
        <w:textAlignment w:val="auto"/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80" w:lineRule="exact"/>
        <w:ind w:right="0" w:firstLine="640" w:firstLineChars="200"/>
        <w:jc w:val="center"/>
        <w:textAlignment w:val="auto"/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四、权力义务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8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十五、运营方应当履行以下义务：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运营方应履行公共服务职能，醒目位置应挂有公办养老机构牌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匾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。严格落实《养老机构管理办法》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（民政部第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66号令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认真执行《养老机构服务安全基本规范》《养老机构服务质量基本规范》等标准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，提高养老服务质量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运营方应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规范服务收费管理，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按照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《湖南省发改委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湖南省民政厅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关于规范养老机构服务收费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促进养老服务业健康发展的实施意见 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》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（湘发改价费〔2018〕440号 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）等文件要求，合理确定并细化收费标准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。床位费和护理费原则上按月收取，一次性收取费用期限最高不得超过一年。医疗保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证金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一次性收取期限最高不超过6个月。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应将特困人员供养经费落实到人，不得向特困供养对象收取任何费用。落实收费公示制度，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在醒目位置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公示收费相关信息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（三）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运营方应与老年人签订服务合同，明确服务内容、权利义务、收费标准等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（四）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运营方应加强食品卫生安全管理，落实食品药品安全管理制度；加强健康管理，及时做好老年人突发危重疾病的救治工作；加强消防安全管理，切实依法履行消防安全管理主体责任。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（五）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运营方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应执行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重大情况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及时报告制度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，包括重大安全</w:t>
      </w:r>
      <w:bookmarkStart w:id="0" w:name="_GoBack"/>
      <w:bookmarkEnd w:id="0"/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事故、重大疫情等可能影响运营或危及入住老人生命财产安全重大事项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如需将医疗、物业管理等部分管理职能交由其他企业、组织的，应征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求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产权方同意后实施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（六）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运营方应建立完善的财务、会计和资产管理制度，定期向产权方提交经审计的财务报告和年度工作报告。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年度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工作报告内容包括服务范围、服务对象、服务质量、运营管理、经营收支、资产管理等。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十六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民营养老机构享受与民办养老机构同等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运营性质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的优惠扶持政策。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十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七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产权方应当履行以下职责：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产权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方要委托第三方定期对运营方内部管理、收费标准、服务质量、老年人满意度等内容开展评估，评估不合格的，责令其整改，整改仍不合格的，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依法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解除合同。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产权方</w:t>
      </w: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要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会同有关部门每年定期、不定期对养老机构的运营管理、经费投入、收费标准、人员待遇、服务质量、公众评议等内容开展检查，并向社会公布检查结果。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kern w:val="2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（三）</w:t>
      </w:r>
      <w:r>
        <w:rPr>
          <w:rFonts w:ascii="Times New Roman" w:hAnsi="Times New Roman" w:eastAsia="仿宋_GB2312"/>
          <w:color w:val="000000" w:themeColor="text1"/>
          <w:kern w:val="2"/>
          <w:sz w:val="32"/>
          <w:szCs w:val="32"/>
          <w:u w:val="none"/>
          <w14:textFill>
            <w14:solidFill>
              <w14:schemeClr w14:val="tx1"/>
            </w14:solidFill>
          </w14:textFill>
        </w:rPr>
        <w:t>产权方要公开监督举报电话，及时核实和处理举报投诉内容，纠正违规违法行为。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（四）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产权方要制定运营方异常退出时的风险防控应急预案，风险发生时要迅速向当地政府报告，妥善安置入住对象，做好善后事宜，启动对运营方追责的法律程序。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）对实施委托经营的公办养老机构重点考核服务质量、成本控制、保障能力和床位使用效率等。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center"/>
        <w:textAlignment w:val="baseline"/>
        <w:rPr>
          <w:rFonts w:hint="eastAsia" w:ascii="黑体" w:hAnsi="黑体" w:eastAsia="黑体" w:cs="黑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五、附则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left"/>
        <w:textAlignment w:val="baseline"/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十八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、已实施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公建（办）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民营的养老机构要参照本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指引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进一步完善合同内容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或签订补充协议</w:t>
      </w:r>
      <w:r>
        <w:rPr>
          <w:rFonts w:ascii="Times New Roman" w:hAnsi="Times New Roman" w:eastAsia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，落实服务管理、监督管理的相关要求。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十九、</w:t>
      </w:r>
      <w:r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  <w:t>本指引自发布之日起实施，有效期五年。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/>
          <w:color w:val="000000" w:themeColor="text1"/>
          <w:sz w:val="32"/>
          <w:szCs w:val="32"/>
          <w:u w:val="none"/>
          <w:lang w:val="en" w:eastAsia="zh-CN"/>
          <w14:textFill>
            <w14:solidFill>
              <w14:schemeClr w14:val="tx1"/>
            </w14:solidFill>
          </w14:textFill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2154" w:right="1361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C91931"/>
    <w:rsid w:val="0E2B5BC2"/>
    <w:rsid w:val="0FC91931"/>
    <w:rsid w:val="2F5078D6"/>
    <w:rsid w:val="39DB39E7"/>
    <w:rsid w:val="3F7CA48B"/>
    <w:rsid w:val="60AC47C5"/>
    <w:rsid w:val="718E4107"/>
    <w:rsid w:val="7BE2675B"/>
    <w:rsid w:val="7CD85D9A"/>
    <w:rsid w:val="E7EFCC9F"/>
    <w:rsid w:val="FFBD0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ind w:firstLine="420" w:firstLineChars="200"/>
    </w:pPr>
    <w:rPr>
      <w:rFonts w:ascii="Calibri" w:hAnsi="Calibri" w:eastAsia="宋体"/>
      <w:szCs w:val="22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2894</Words>
  <Characters>2915</Characters>
  <Lines>0</Lines>
  <Paragraphs>0</Paragraphs>
  <TotalTime>0</TotalTime>
  <ScaleCrop>false</ScaleCrop>
  <LinksUpToDate>false</LinksUpToDate>
  <CharactersWithSpaces>2933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2022-03-14T10:47:00Z</dcterms:created>
  <dc:creator>lenovo</dc:creator>
  <cp:lastModifiedBy>lenovo</cp:lastModifiedBy>
  <dcterms:modified xsi:type="dcterms:W3CDTF">2022-03-28T03:49:57Z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328D3774629C45BD91E67D6C7DFB544B</vt:lpwstr>
  </property>
</Properties>
</file>