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napToGrid w:val="0"/>
          <w:kern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eastAsia="zh-CN"/>
        </w:rPr>
      </w:pP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val="en-US" w:eastAsia="zh-CN"/>
        </w:rPr>
        <w:t>XX主管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 w:bidi="ar"/>
        </w:rPr>
        <w:t>全</w:t>
      </w:r>
      <w:r>
        <w:rPr>
          <w:rStyle w:val="6"/>
          <w:rFonts w:hint="default" w:ascii="方正小标宋简体" w:hAnsi="方正小标宋简体" w:eastAsia="方正小标宋简体" w:cs="方正小标宋简体"/>
          <w:b w:val="0"/>
          <w:bCs/>
          <w:sz w:val="44"/>
          <w:szCs w:val="44"/>
          <w:lang w:eastAsia="zh-CN" w:bidi="ar"/>
        </w:rPr>
        <w:t>省</w:t>
      </w: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 w:bidi="ar"/>
        </w:rPr>
        <w:t>性</w:t>
      </w: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val="en-US" w:eastAsia="zh-CN"/>
        </w:rPr>
        <w:t>社会团体分支（代表）机构</w:t>
      </w: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eastAsia="zh-CN"/>
        </w:rPr>
        <w:t>专项整治行动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59" w:afterLines="50" w:line="600" w:lineRule="exact"/>
        <w:ind w:right="0" w:rightChars="0"/>
        <w:jc w:val="center"/>
        <w:textAlignment w:val="auto"/>
        <w:outlineLvl w:val="9"/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eastAsia="zh-CN"/>
        </w:rPr>
      </w:pP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eastAsia="zh-CN"/>
        </w:rPr>
        <w:t>进展情况统计表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both"/>
        <w:textAlignment w:val="auto"/>
        <w:rPr>
          <w:rFonts w:hint="eastAsia" w:ascii="楷体_GB2312" w:hAnsi="楷体_GB2312" w:eastAsia="楷体_GB2312" w:cs="楷体_GB2312"/>
          <w:b/>
          <w:bCs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snapToGrid w:val="0"/>
          <w:color w:val="auto"/>
          <w:kern w:val="0"/>
          <w:sz w:val="28"/>
          <w:szCs w:val="28"/>
          <w:lang w:val="en-US" w:eastAsia="zh-CN" w:bidi="ar-SA"/>
        </w:rPr>
        <w:t>单位（盖章）：        年    月   日          联系人：               联系电话：</w:t>
      </w:r>
    </w:p>
    <w:tbl>
      <w:tblPr>
        <w:tblStyle w:val="3"/>
        <w:tblpPr w:leftFromText="180" w:rightFromText="180" w:vertAnchor="text" w:horzAnchor="page" w:tblpXSpec="center" w:tblpY="86"/>
        <w:tblOverlap w:val="never"/>
        <w:tblW w:w="1386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"/>
        <w:gridCol w:w="9000"/>
        <w:gridCol w:w="1650"/>
        <w:gridCol w:w="1561"/>
        <w:gridCol w:w="8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总体情况</w:t>
            </w:r>
          </w:p>
        </w:tc>
        <w:tc>
          <w:tcPr>
            <w:tcW w:w="32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成果</w:t>
            </w: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开展自查的社会团体数（个）</w:t>
            </w:r>
          </w:p>
        </w:tc>
        <w:tc>
          <w:tcPr>
            <w:tcW w:w="32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抽查检查的社会团体数（个）</w:t>
            </w:r>
          </w:p>
        </w:tc>
        <w:tc>
          <w:tcPr>
            <w:tcW w:w="32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发现存在整治情形的社会团体数（个）</w:t>
            </w:r>
          </w:p>
        </w:tc>
        <w:tc>
          <w:tcPr>
            <w:tcW w:w="32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列入整治范围的分支（代表）机构数（个）</w:t>
            </w:r>
          </w:p>
        </w:tc>
        <w:tc>
          <w:tcPr>
            <w:tcW w:w="321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问题情形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发现问题（个）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完成整治（个）</w:t>
            </w: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已完成社会团体授权任务和宗旨使命的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超出社会团体章程规定宗旨和业务范围的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另行制定章程的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名称或业务范围有相同相似的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未按照规定程序设立的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以“中心”、“联盟”、“研究会”、“促进会”、“研究院”等各类法人组织名称命名的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名称中使用“中国”、“中华”、“全国”、“国家”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、“湖南”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等字样的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除代表机构外，名称带有地域性特征的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  <w:t>分支（代表）机构下再设立分支（代表）机构的，或者或者以学组、工作组、志愿服务队等名义变相设立分支（代表）机构的；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内部管理混乱影响正常运转的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拒不服从社会团体领导和管理的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连续两年及以上未开展活动的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与非法社会组织存在勾连的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未经社会团体授权或者批准，擅自发展会员、收取会费、接受捐赠、以社会团体名义开展活动的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财务收支未纳入社会团体统一账户管理的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开设独立银行账户的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单独制定会费标准的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通过收取管理费、赞助费等方式将分支（代表）机构委托其他组织运营的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存在违规收费或者违规开展评比达标表彰活动情形的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24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未在年度检查报告分支（代表）机构设立情况的；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25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分支（代表）机构被撤销后，仍以分支（代表）机构或者社会团体名义开展活动的；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6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违反其他管理规定的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整治结果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列入整治数（个）</w:t>
            </w: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完成整治数（个）</w:t>
            </w: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7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终止的分支（代表）机构数（个）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76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eastAsia="zh-CN" w:bidi="ar"/>
              </w:rPr>
              <w:t>28</w:t>
            </w:r>
          </w:p>
        </w:tc>
        <w:tc>
          <w:tcPr>
            <w:tcW w:w="90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限期整改的分支（代表）机构数（个）</w:t>
            </w:r>
          </w:p>
        </w:tc>
        <w:tc>
          <w:tcPr>
            <w:tcW w:w="16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80" w:lineRule="exact"/>
        <w:ind w:right="0" w:rightChars="0"/>
        <w:textAlignment w:val="auto"/>
        <w:outlineLvl w:val="9"/>
        <w:rPr>
          <w:rFonts w:hint="default" w:ascii="Times New Roman" w:hAnsi="Times New Roman" w:eastAsia="仿宋_GB2312" w:cs="Times New Roman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sectPr>
          <w:pgSz w:w="16838" w:h="11906" w:orient="landscape"/>
          <w:pgMar w:top="1587" w:right="2154" w:bottom="1474" w:left="1361" w:header="0" w:footer="1417" w:gutter="0"/>
          <w:pgNumType w:fmt="decimal"/>
          <w:cols w:space="0" w:num="1"/>
          <w:rtlGutter w:val="0"/>
          <w:docGrid w:type="lines" w:linePitch="315" w:charSpace="0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1152A35-F4DA-4FA4-9C61-E76C8C17567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470AFD9E-7D73-422C-8640-ED25A130436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B4C37798-9022-4812-9CDF-01967390FF9A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4" w:fontKey="{DE87B8E8-A5FB-44FF-B487-3AD069BD5500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87A74DF8-6968-4FA9-A395-F1DD011373C0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2B4999"/>
    <w:rsid w:val="1C2B4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Default"/>
    <w:qFormat/>
    <w:uiPriority w:val="0"/>
    <w:pPr>
      <w:widowControl w:val="0"/>
      <w:autoSpaceDE w:val="0"/>
      <w:autoSpaceDN w:val="0"/>
      <w:adjustRightInd w:val="0"/>
      <w:jc w:val="left"/>
    </w:pPr>
    <w:rPr>
      <w:rFonts w:ascii="Times New Roman" w:hAnsi="Times New Roman" w:eastAsia="宋体" w:cs="Times New Roman"/>
      <w:color w:val="000000"/>
      <w:kern w:val="0"/>
      <w:sz w:val="24"/>
      <w:szCs w:val="24"/>
      <w:lang w:val="en-US" w:eastAsia="zh-CN" w:bidi="ar-SA"/>
    </w:rPr>
  </w:style>
  <w:style w:type="character" w:customStyle="1" w:styleId="6">
    <w:name w:val="font51"/>
    <w:basedOn w:val="4"/>
    <w:qFormat/>
    <w:uiPriority w:val="0"/>
    <w:rPr>
      <w:rFonts w:hint="eastAsia" w:ascii="宋体" w:hAnsi="宋体" w:eastAsia="宋体" w:cs="宋体"/>
      <w:b/>
      <w:color w:val="000000"/>
      <w:sz w:val="48"/>
      <w:szCs w:val="4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2022-04-24T03:32:00Z</dcterms:created>
  <dc:creator>欧阳冠洁</dc:creator>
  <cp:lastModifiedBy>欧阳冠洁</cp:lastModifiedBy>
  <dcterms:modified xsi:type="dcterms:W3CDTF">2022-04-24T03:32:21Z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0D0FAC2D78D74173A6FC89710B977F45</vt:lpwstr>
  </property>
  <property fmtid="{D5CDD505-2E9C-101B-9397-08002B2CF9AE}" pid="4" name="commondata">
    <vt:lpwstr>eyJoZGlkIjoiNWRmNDNhZmNlYTUxNTFkMjI5ZTQ4NGZlZDYwZjA4YTYifQ==</vt:lpwstr>
  </property>
</Properties>
</file>