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pStyle w:val="2"/>
        <w:ind w:firstLine="3080" w:firstLineChars="700"/>
        <w:rPr>
          <w:rFonts w:hint="eastAsia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湖南省地方标准</w:t>
      </w:r>
    </w:p>
    <w:p>
      <w:pPr>
        <w:pStyle w:val="2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《老年人居家适老化改造基本规范》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（征求意见稿）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编制说明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标准起草组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0二二年七月</w:t>
      </w:r>
    </w:p>
    <w:p>
      <w:pPr>
        <w:pStyle w:val="2"/>
        <w:spacing w:before="0" w:after="0" w:line="360" w:lineRule="auto"/>
        <w:ind w:firstLine="442" w:firstLineChars="100"/>
        <w:jc w:val="center"/>
        <w:rPr>
          <w:rFonts w:hint="eastAsia" w:ascii="黑体" w:hAnsi="黑体" w:eastAsia="黑体" w:cs="黑体"/>
          <w:sz w:val="44"/>
          <w:szCs w:val="44"/>
        </w:rPr>
        <w:sectPr>
          <w:footerReference r:id="rId3" w:type="default"/>
          <w:pgSz w:w="11906" w:h="16838"/>
          <w:pgMar w:top="1440" w:right="1486" w:bottom="1440" w:left="16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360" w:lineRule="auto"/>
        <w:ind w:firstLine="3080" w:firstLineChars="700"/>
        <w:jc w:val="both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湖南省地方标准</w:t>
      </w:r>
    </w:p>
    <w:p>
      <w:pPr>
        <w:pStyle w:val="2"/>
        <w:spacing w:before="0" w:after="0" w:line="360" w:lineRule="auto"/>
        <w:ind w:firstLine="880" w:firstLineChars="20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《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老年人居家适老化改造基本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规范》</w:t>
      </w:r>
    </w:p>
    <w:p>
      <w:pPr>
        <w:pStyle w:val="2"/>
        <w:spacing w:before="0" w:after="0" w:line="360" w:lineRule="auto"/>
        <w:ind w:firstLine="2200" w:firstLineChars="500"/>
        <w:jc w:val="both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（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征求意见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稿）编制说明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</w:p>
    <w:p>
      <w:pPr>
        <w:wordWrap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任务来源</w:t>
      </w:r>
    </w:p>
    <w:p>
      <w:pPr>
        <w:wordWrap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2022年4月，湖南省市场监督管理局批准了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老年人居家适老化改造基本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湖南省地方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扎实开展标准起草编制工作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，湖南省民政厅成立了由湖南康乃馨养老产业投资置业有限公司牵头、相关单位配合等编制小组，按照工作计划开展标准的起草编制工作。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标准由湖南省民政厅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由湖南省养老服务标准化技术委员会归口。</w:t>
      </w:r>
    </w:p>
    <w:p>
      <w:pPr>
        <w:wordWrap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二、制定标准的目的和意义</w:t>
      </w:r>
    </w:p>
    <w:p>
      <w:pPr>
        <w:wordWrap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老年人居家适老化改造工程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，2020年，民政部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、国家发展改革委、财政部、住房和城乡建设部、国家卫生健康委、银保监会、国务院扶贫办、中国残联、全国老龄办发布了《关于加快实施老年人居家适老化改造工程指导意见》（民发[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2020]86号）；2022年，湖南省民政厅、湖南省发展和改革委员会、湖南省财政厅、湖南省住房和城乡建设厅、湖南省残疾人联合会关于印发《2022年“老年人服务保障”重点民生实事项目实施方案》（湘民发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2022]17号）的通知。因此，开展老年人居家适老化改造基本规范的研究，建立科学合理的改造标准，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适老化改造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标准化建设的基础性工作和必要前提，也是推进养老服务业标准化体系建设的重要组成部分。主要有以下重要意义：</w:t>
      </w:r>
    </w:p>
    <w:p>
      <w:pPr>
        <w:wordWrap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（一）有利于健全养老服务标准化体系，体现“以人为本”。针对老年人不断多样化的服务需求，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建立居家适老化改造的标准，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充分保障老年人合法权益的同时，弘扬中华民族敬老、养老、助老美德。</w:t>
      </w:r>
    </w:p>
    <w:p>
      <w:pPr>
        <w:wordWrap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（二）有利于在全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范围内指导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居家适老化改造企业实行按照标准要求进行改造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，为行业的发展提供必要的依据，从而提升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老年人的幸福指数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，促进养老行业的可持续发展。</w:t>
      </w:r>
    </w:p>
    <w:p>
      <w:pPr>
        <w:wordWrap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（三）有利于助力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政策文件的有效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实施，提升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质量，降低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风险，保障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老年人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position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6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</w:rPr>
        <w:t>有利于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  <w:lang w:eastAsia="zh-CN"/>
        </w:rPr>
        <w:t>保障适老化改造实施的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</w:rPr>
        <w:t>规范化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  <w:lang w:eastAsia="zh-CN"/>
        </w:rPr>
        <w:t>、标准化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  <w:lang w:val="en-US" w:eastAsia="zh-CN"/>
        </w:rPr>
        <w:t>促进养老行业健康发展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  <w:lang w:eastAsia="zh-CN"/>
        </w:rPr>
        <w:t>老年人居家适老化改造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  <w:lang w:val="en-US" w:eastAsia="zh-CN"/>
        </w:rPr>
        <w:t>标准的制定，让政府部门、适老化改造企业、老年人及家属都有据可依，顺应了养老行业发展的新变化和老年人的迫切需求。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position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6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</w:rPr>
        <w:t>有利于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  <w:lang w:eastAsia="zh-CN"/>
        </w:rPr>
        <w:t>保障老年人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  <w:lang w:eastAsia="zh-CN"/>
        </w:rPr>
        <w:t>适老化改造企业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  <w:lang w:val="en-US" w:eastAsia="zh-CN"/>
        </w:rPr>
        <w:t>权利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position w:val="6"/>
          <w:sz w:val="32"/>
          <w:szCs w:val="32"/>
          <w:lang w:eastAsia="zh-CN"/>
        </w:rPr>
        <w:t>建立老年人居家适老化改造标准，进一步明确了老年人居家适老化改造的基本原则、基本要求、套内空间改造要求、改造流程、检查与维护要求，有利于保障老年人权利，适老化改造企业在提升改造服务质量方面也有章可循。</w:t>
      </w:r>
    </w:p>
    <w:p>
      <w:pPr>
        <w:wordWrap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三、主要编制过程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（一）项目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申报立项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目前国内在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居家适老化改造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方面的相关标准暂为空白，缺乏指导性依据，急需制定该方面的标准，以进一步推动养老产业全面、规范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，湖南康乃馨养老产业投资置业有限公司向省民政厅提交了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老年人居家适老化改造基本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湖南省地方标准的立项申请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2022年4月顺利通过了湖南省市场监督管理局的审批立项。</w:t>
      </w:r>
    </w:p>
    <w:p>
      <w:pPr>
        <w:wordWrap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成立领导小组及标准起草组</w:t>
      </w:r>
    </w:p>
    <w:p>
      <w:pPr>
        <w:wordWrap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月，湖南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发展集团康乃馨公司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成立了由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党总支书记、董事长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老年人居家适老化改造基本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标准编制工作领导小组，全面领导标准编制工作。同时成立了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内部专家和外部专家相结合的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标准起草组，专家涉及行政管理部门、标准化研究、养老实操、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适老化改造研究与实践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建筑设计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等方面，并制定了本标准的编制工作方案，明确了职责、分工、主要工作内容、编写进度安排和相关保障等。</w:t>
      </w:r>
    </w:p>
    <w:p>
      <w:pPr>
        <w:wordWrap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（三）项目调研</w:t>
      </w:r>
    </w:p>
    <w:p>
      <w:pPr>
        <w:wordWrap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按照领导小组的统一安排，202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月，标准起草组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开展了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前期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调研，包括国内外文献检索整理，征求专家意见，发放调查问卷，实地考察等，并在全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范围内收集其他省份关于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老年人居家适老化改造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方面的政策性文件、地方标准、管理制度等相关资料，对所收集的资料进行梳理、分析。</w:t>
      </w:r>
    </w:p>
    <w:p>
      <w:pPr>
        <w:wordWrap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（四）标准研制与研讨过程</w:t>
      </w:r>
    </w:p>
    <w:p>
      <w:pPr>
        <w:wordWrap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月，标准起草组在全国范围内进一步收集其他省份关于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老年人居家适老化改造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方面的政策性文件、地方标准、管理制度等相关资料，发放调查问卷，对所收集的资料进一步梳理、分析，并组织召开了领导小组及标准起草组研讨会议，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专家对标准文本的整体框架结构、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基本要求、适老化改造及设施设备要求、验收要求、检查与维护要求、评价与持续改进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，特别是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适老化改造及设施设备要求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提出了建设性的建议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通过多次研讨、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修改，征求行业管理部门和专家意见，综合行业和专家意见形成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月，标准起草组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针对标准草案，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开展现场调研，调研涉及市州、县市区民政部门、公办和民办养老机构、适老化改造企业、已经改造好的老年人家庭等。再次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老年人居家适老化改造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方面的政策性文件、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国家标准、行业标准、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地方标准、管理制度等相关资料，对所收集的资料进一步梳理、分析，并组织召开了领导小组及标准起草组研讨会议，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专家对标准文本的整体框架结构、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基本原则、基本要求、套内空间改造要求、改造流程、检查与维护要求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，特别是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套内空间改造要求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提出了建设性的建议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通过多次研讨、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修改，征求行业管理部门和专家意见，综合行业和专家意见形成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、标准编制原则、编制思路及主要内容</w:t>
      </w:r>
    </w:p>
    <w:p>
      <w:pPr>
        <w:wordWrap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（一）编制原则</w:t>
      </w:r>
    </w:p>
    <w:p>
      <w:pPr>
        <w:wordWrap/>
        <w:adjustRightInd w:val="0"/>
        <w:snapToGrid w:val="0"/>
        <w:spacing w:line="560" w:lineRule="exact"/>
        <w:ind w:left="0" w:leftChars="0" w:firstLine="60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1.合规性原则。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本标准中有关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老年人居家适老化改造规范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中的部分内容，以相关法律法规、政策性文件作为主要参考依据，立足于全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养老行业现状的基础上进行编写。</w:t>
      </w:r>
    </w:p>
    <w:p>
      <w:pPr>
        <w:pStyle w:val="9"/>
        <w:numPr>
          <w:ilvl w:val="1"/>
          <w:numId w:val="0"/>
        </w:numPr>
        <w:wordWrap/>
        <w:spacing w:beforeLines="0" w:afterLines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2.适用性原则。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本标准在编制过程中，面向全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民政部门、公办民办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、适老化改造企业、老年人家庭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进行调研，在对收集数据进行分析处理的基础上，对基本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基本要求、套内空间改造要求、改造流程、检查与维护要求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等进行规定，力求提出的指标具有广泛的适用性和较好的指导性。</w:t>
      </w:r>
    </w:p>
    <w:p>
      <w:pPr>
        <w:pStyle w:val="8"/>
        <w:wordWrap/>
        <w:spacing w:line="560" w:lineRule="exact"/>
        <w:ind w:left="0" w:leftChars="0" w:firstLine="5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3.适度前瞻原则。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本标准设置的指标以满足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老年人居家实际需求以及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《养老机构服务安全基本规范》（GB 38600-2019）、《养老机构等级划分与评定》（GB/T 37276-2018 ）的要求为基础，适度考虑安全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质量不断提升的需求。</w:t>
      </w:r>
    </w:p>
    <w:p>
      <w:pPr>
        <w:wordWrap/>
        <w:adjustRightInd w:val="0"/>
        <w:snapToGrid w:val="0"/>
        <w:spacing w:line="560" w:lineRule="exact"/>
        <w:ind w:left="0" w:leftChars="0" w:firstLine="60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4.规范性原则。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严格按照GB/T 1.1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2020《标准化工作导则 第1部分：标准化文件的结构和起草规则》等标准的要求进行编写，以保证标准文本的规范性。</w:t>
      </w:r>
    </w:p>
    <w:p>
      <w:pPr>
        <w:wordWrap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（二）编制思路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本标准主要以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国家颁布的养老行业相关法律法规和政策性文件以及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信息安全技术 个人信息安全规范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GB/T 35273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无障碍设施施工验收及维护规范》（GB 50642）、《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无障碍设计规范》（GB 50763）、《建筑与市政工程无障碍通用规范》（GB 55019）、《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老年人照料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设施建筑设计标准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JGJ 450）、《老年人能力评估 》（MZ/T 039）和《养老服务常用图形符号及标志》（MZ/T 131）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等标准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为编制依据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。同时参考了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国务院办公厅关于推进养老服务发展的意见》（国办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民政部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发展改革委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财政部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住房城乡建设部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国家卫生健康委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银保监会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国务院扶贫办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中国残联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全国老龄办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《加快实施老年人居家适老化改造工程的指导意见》（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民发〔20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）、湖南省民政厅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湖南省发展和改革委员会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湖南省财政厅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湖南省住房和城乡建设厅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湖南省残疾人联合会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印发《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2022年“老年人服务保障”重点民生实事项目实施方案》的通知（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湘民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关于做好适老化改造民生实事政策文件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适老化改造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的有关规定。</w:t>
      </w:r>
    </w:p>
    <w:p>
      <w:pPr>
        <w:wordWrap/>
        <w:spacing w:line="560" w:lineRule="exact"/>
        <w:ind w:left="0" w:leftChars="0" w:right="48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（三）标准的主要内容</w:t>
      </w:r>
    </w:p>
    <w:p>
      <w:pPr>
        <w:wordWrap/>
        <w:spacing w:line="560" w:lineRule="exact"/>
        <w:ind w:left="0" w:leftChars="0" w:right="48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1.标准的适用范围</w:t>
      </w:r>
    </w:p>
    <w:p>
      <w:pPr>
        <w:pStyle w:val="8"/>
        <w:wordWrap/>
        <w:spacing w:line="560" w:lineRule="exact"/>
        <w:ind w:left="0" w:leftChars="0"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本标准规定了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老年人居家适老化改造的基本原则、基本要求、套内空间改造要求、改造流程、检查与维护要求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wordWrap/>
        <w:spacing w:line="560" w:lineRule="exact"/>
        <w:ind w:left="0" w:leftChars="0" w:firstLine="560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本标准适用于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老年人居家套内空间的适老化改造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wordWrap/>
        <w:spacing w:line="560" w:lineRule="exact"/>
        <w:ind w:left="0" w:leftChars="0" w:right="48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2.标准的主体内容</w:t>
      </w:r>
    </w:p>
    <w:p>
      <w:pPr>
        <w:widowControl/>
        <w:wordWrap/>
        <w:spacing w:line="560" w:lineRule="exact"/>
        <w:ind w:left="0" w:leftChars="0"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本标准规范了老年人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居家适老化改造的相关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，对居家适老化改造、重点对象家庭、基础类项目、可选类项目等术语与定义进行了明确，从基本原则、基本要求、套内空间改造要求、改造流程、检查与维护要求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个方面提出了要求，力求通过这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个方面的规定，实现对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老年人居家适老化改造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进行规范的目的。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right="48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标准相关条款说明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1）本标准中的术语与定义以及附录A、附录B配置清单主要参考了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民政部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发展改革委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财政部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住房城乡建设部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国家卫生健康委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银保监会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国务院扶贫办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中国残联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全国老龄办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《加快实施老年人居家适老化改造工程的指导意见》（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民发〔20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）、湖南省民政厅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湖南省发展和改革委员会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湖南省财政厅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湖南省住房和城乡建设厅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湖南省残疾人联合会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印发《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2022年“老年人服务保障”重点民生实事项目实施方案》的通知（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湘民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）等政策文件。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48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标准中的套内空间改造要求主要参考了《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建筑与市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政工程无障碍通用规范》（GB 55019）、《无障碍设计规范》（GB 50763 ）和《老年人照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设施建筑设计标准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JGJ 450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48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五、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该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标准与国家相关法规和强制性标准的关系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480"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kern w:val="0"/>
          <w:sz w:val="32"/>
          <w:szCs w:val="32"/>
        </w:rPr>
        <w:t>标准符合国家相关法规和强制性标准的规定。</w:t>
      </w:r>
    </w:p>
    <w:p>
      <w:pPr>
        <w:pStyle w:val="2"/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spacing w:line="240" w:lineRule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标准起草组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 2022年7月12日</w:t>
      </w:r>
    </w:p>
    <w:sectPr>
      <w:footerReference r:id="rId4" w:type="default"/>
      <w:pgSz w:w="11906" w:h="16838"/>
      <w:pgMar w:top="1440" w:right="1686" w:bottom="1440" w:left="16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844"/>
      </w:pPr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993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1844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2QzZWFjOTAxNDA3MDBiMjI4Mjg5ZTgxNzVlZDMifQ=="/>
  </w:docVars>
  <w:rsids>
    <w:rsidRoot w:val="00000000"/>
    <w:rsid w:val="01D02511"/>
    <w:rsid w:val="027C1BB5"/>
    <w:rsid w:val="035D17DE"/>
    <w:rsid w:val="05653106"/>
    <w:rsid w:val="073C12CE"/>
    <w:rsid w:val="08DB48E4"/>
    <w:rsid w:val="0C5F5C37"/>
    <w:rsid w:val="0DF66714"/>
    <w:rsid w:val="0EB42F0B"/>
    <w:rsid w:val="0F8449BF"/>
    <w:rsid w:val="13255552"/>
    <w:rsid w:val="14495643"/>
    <w:rsid w:val="183969A5"/>
    <w:rsid w:val="1A1B1C87"/>
    <w:rsid w:val="1B464229"/>
    <w:rsid w:val="1B7017E3"/>
    <w:rsid w:val="1DD572F9"/>
    <w:rsid w:val="1EAF658A"/>
    <w:rsid w:val="1EC031D9"/>
    <w:rsid w:val="1F601FDE"/>
    <w:rsid w:val="23BF6000"/>
    <w:rsid w:val="244248E9"/>
    <w:rsid w:val="24C04C56"/>
    <w:rsid w:val="25DF541A"/>
    <w:rsid w:val="25FA5269"/>
    <w:rsid w:val="278C0C8F"/>
    <w:rsid w:val="290A7065"/>
    <w:rsid w:val="29820712"/>
    <w:rsid w:val="2DA73FE6"/>
    <w:rsid w:val="301930D3"/>
    <w:rsid w:val="30C450B0"/>
    <w:rsid w:val="3267074A"/>
    <w:rsid w:val="35B5088A"/>
    <w:rsid w:val="36B33455"/>
    <w:rsid w:val="37776076"/>
    <w:rsid w:val="3923122E"/>
    <w:rsid w:val="46EF4635"/>
    <w:rsid w:val="47134532"/>
    <w:rsid w:val="4BC868EA"/>
    <w:rsid w:val="4D9A6161"/>
    <w:rsid w:val="4E7E212E"/>
    <w:rsid w:val="52120C51"/>
    <w:rsid w:val="551E351C"/>
    <w:rsid w:val="56095B3F"/>
    <w:rsid w:val="59483115"/>
    <w:rsid w:val="59BA720F"/>
    <w:rsid w:val="5B2A7CC6"/>
    <w:rsid w:val="5B786FF7"/>
    <w:rsid w:val="5C5B1566"/>
    <w:rsid w:val="61213787"/>
    <w:rsid w:val="67C0453C"/>
    <w:rsid w:val="6DD90359"/>
    <w:rsid w:val="6E451882"/>
    <w:rsid w:val="6E8519E4"/>
    <w:rsid w:val="6E8B4399"/>
    <w:rsid w:val="719E455A"/>
    <w:rsid w:val="734C3B33"/>
    <w:rsid w:val="736F233F"/>
    <w:rsid w:val="74AD2D70"/>
    <w:rsid w:val="7B1444FA"/>
    <w:rsid w:val="7C4A2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9">
    <w:name w:val="一级条标题"/>
    <w:next w:val="8"/>
    <w:qFormat/>
    <w:uiPriority w:val="99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%E6%A5%BC%E4%B8%8B%E7%9A%84%E5%BD%AD%E5%</cp:lastModifiedBy>
  <dcterms:modified xsi:type="dcterms:W3CDTF">2022-07-12T09:07:21Z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RubyTemplateID" linkTarget="0">
    <vt:lpwstr>6</vt:lpwstr>
  </property>
  <property fmtid="{D5CDD505-2E9C-101B-9397-08002B2CF9AE}" pid="4" name="ICV">
    <vt:lpwstr>2884BA276BB04A1782BA316BAE425FA7</vt:lpwstr>
  </property>
</Properties>
</file>