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val="0"/>
        <w:overflowPunct/>
        <w:topLinePunct/>
        <w:autoSpaceDE/>
        <w:autoSpaceDN/>
        <w:bidi w:val="0"/>
        <w:adjustRightInd w:val="0"/>
        <w:snapToGrid w:val="0"/>
        <w:spacing w:line="580" w:lineRule="exact"/>
        <w:ind w:left="0" w:leftChars="0" w:right="0" w:rightChars="0"/>
        <w:jc w:val="center"/>
        <w:textAlignment w:val="baseline"/>
        <w:outlineLvl w:val="0"/>
        <w:rPr>
          <w:rFonts w:hint="eastAsia" w:ascii="方正小标宋简体" w:hAnsi="方正小标宋简体" w:eastAsia="方正小标宋简体" w:cs="方正小标宋简体"/>
          <w:b w:val="0"/>
          <w:bCs w:val="0"/>
          <w:color w:val="auto"/>
          <w:spacing w:val="4"/>
          <w:position w:val="2"/>
          <w:sz w:val="44"/>
          <w:szCs w:val="44"/>
        </w:rPr>
      </w:pPr>
    </w:p>
    <w:p>
      <w:pPr>
        <w:keepNext w:val="0"/>
        <w:keepLines w:val="0"/>
        <w:pageBreakBefore w:val="0"/>
        <w:widowControl w:val="0"/>
        <w:kinsoku/>
        <w:wordWrap w:val="0"/>
        <w:overflowPunct/>
        <w:topLinePunct/>
        <w:autoSpaceDE/>
        <w:autoSpaceDN/>
        <w:bidi w:val="0"/>
        <w:adjustRightInd w:val="0"/>
        <w:snapToGrid w:val="0"/>
        <w:spacing w:line="580" w:lineRule="exact"/>
        <w:ind w:left="0" w:leftChars="0" w:right="0" w:rightChars="0"/>
        <w:jc w:val="center"/>
        <w:textAlignment w:val="baseline"/>
        <w:outlineLvl w:val="0"/>
        <w:rPr>
          <w:rFonts w:hint="eastAsia" w:ascii="方正小标宋简体" w:hAnsi="方正小标宋简体" w:eastAsia="方正小标宋简体" w:cs="方正小标宋简体"/>
          <w:b w:val="0"/>
          <w:bCs w:val="0"/>
          <w:color w:val="auto"/>
          <w:spacing w:val="4"/>
          <w:position w:val="2"/>
          <w:sz w:val="44"/>
          <w:szCs w:val="44"/>
        </w:rPr>
      </w:pPr>
      <w:r>
        <w:rPr>
          <w:rFonts w:hint="eastAsia" w:ascii="方正小标宋简体" w:hAnsi="方正小标宋简体" w:eastAsia="方正小标宋简体" w:cs="方正小标宋简体"/>
          <w:b w:val="0"/>
          <w:bCs w:val="0"/>
          <w:color w:val="auto"/>
          <w:spacing w:val="4"/>
          <w:position w:val="2"/>
          <w:sz w:val="44"/>
          <w:szCs w:val="44"/>
        </w:rPr>
        <w:t>湖南省经营性公墓年度检查工作办法</w:t>
      </w:r>
    </w:p>
    <w:p>
      <w:pPr>
        <w:keepNext w:val="0"/>
        <w:keepLines w:val="0"/>
        <w:pageBreakBefore w:val="0"/>
        <w:widowControl w:val="0"/>
        <w:kinsoku/>
        <w:wordWrap w:val="0"/>
        <w:overflowPunct/>
        <w:topLinePunct/>
        <w:autoSpaceDE/>
        <w:autoSpaceDN/>
        <w:bidi w:val="0"/>
        <w:adjustRightInd w:val="0"/>
        <w:snapToGrid w:val="0"/>
        <w:spacing w:line="580" w:lineRule="exact"/>
        <w:ind w:left="0" w:leftChars="0" w:right="0" w:rightChars="0"/>
        <w:jc w:val="center"/>
        <w:textAlignment w:val="baseline"/>
        <w:rPr>
          <w:rFonts w:hint="eastAsia" w:ascii="楷体" w:hAnsi="楷体" w:eastAsia="楷体" w:cs="楷体"/>
          <w:color w:val="auto"/>
          <w:spacing w:val="3"/>
          <w:sz w:val="31"/>
          <w:szCs w:val="31"/>
          <w:lang w:eastAsia="zh-CN"/>
        </w:rPr>
      </w:pPr>
      <w:r>
        <w:rPr>
          <w:rFonts w:hint="eastAsia" w:ascii="楷体" w:hAnsi="楷体" w:eastAsia="楷体" w:cs="楷体"/>
          <w:color w:val="auto"/>
          <w:spacing w:val="3"/>
          <w:sz w:val="31"/>
          <w:szCs w:val="31"/>
          <w:lang w:eastAsia="zh-CN"/>
        </w:rPr>
        <w:t>（征求意见稿）</w:t>
      </w:r>
    </w:p>
    <w:p>
      <w:pPr>
        <w:keepNext w:val="0"/>
        <w:keepLines w:val="0"/>
        <w:pageBreakBefore w:val="0"/>
        <w:widowControl w:val="0"/>
        <w:kinsoku/>
        <w:wordWrap/>
        <w:overflowPunct/>
        <w:topLinePunct w:val="0"/>
        <w:autoSpaceDE w:val="0"/>
        <w:autoSpaceDN w:val="0"/>
        <w:bidi w:val="0"/>
        <w:adjustRightInd w:val="0"/>
        <w:snapToGrid w:val="0"/>
        <w:spacing w:before="0" w:beforeLines="50" w:after="0" w:afterLines="50" w:line="580" w:lineRule="exact"/>
        <w:ind w:left="0" w:leftChars="0" w:right="0" w:rightChars="0" w:firstLine="0" w:firstLineChars="0"/>
        <w:jc w:val="center"/>
        <w:textAlignment w:val="baseline"/>
        <w:outlineLvl w:val="9"/>
        <w:rPr>
          <w:rFonts w:hint="eastAsia" w:ascii="黑体" w:hAnsi="黑体" w:eastAsia="黑体" w:cs="黑体"/>
          <w:color w:val="auto"/>
          <w:sz w:val="32"/>
          <w:szCs w:val="32"/>
        </w:rPr>
      </w:pPr>
      <w:r>
        <w:rPr>
          <w:rFonts w:hint="eastAsia" w:ascii="黑体" w:hAnsi="黑体" w:eastAsia="黑体" w:cs="黑体"/>
          <w:color w:val="auto"/>
          <w:sz w:val="32"/>
          <w:szCs w:val="32"/>
        </w:rPr>
        <w:t>第一章  总则</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第一条  </w:t>
      </w:r>
      <w:r>
        <w:rPr>
          <w:rFonts w:hint="eastAsia" w:ascii="仿宋_GB2312" w:hAnsi="仿宋_GB2312" w:eastAsia="仿宋_GB2312" w:cs="仿宋_GB2312"/>
          <w:color w:val="auto"/>
          <w:sz w:val="32"/>
          <w:szCs w:val="32"/>
        </w:rPr>
        <w:t>为规范经营性公墓年度检查（以下简称年检）工作，加强对经营性公墓建设和经营行为的监督管理</w:t>
      </w:r>
      <w:bookmarkStart w:id="0" w:name="_GoBack"/>
      <w:bookmarkEnd w:id="0"/>
      <w:r>
        <w:rPr>
          <w:rFonts w:hint="eastAsia" w:ascii="仿宋_GB2312" w:hAnsi="仿宋_GB2312" w:eastAsia="仿宋_GB2312" w:cs="仿宋_GB2312"/>
          <w:color w:val="auto"/>
          <w:sz w:val="32"/>
          <w:szCs w:val="32"/>
        </w:rPr>
        <w:t>，保护土地资源，维护群众合法权益，推动我省殡葬事业高质量发展，根据《殡葬管理条例》《</w:t>
      </w:r>
      <w:r>
        <w:rPr>
          <w:rFonts w:hint="eastAsia" w:ascii="仿宋_GB2312" w:hAnsi="仿宋_GB2312" w:eastAsia="仿宋_GB2312" w:cs="仿宋_GB2312"/>
          <w:color w:val="auto"/>
          <w:sz w:val="32"/>
          <w:szCs w:val="32"/>
          <w:lang w:eastAsia="zh-CN"/>
        </w:rPr>
        <w:t>公墓管理暂行办法</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湖南省实施</w:t>
      </w:r>
      <w:r>
        <w:rPr>
          <w:rFonts w:hint="eastAsia" w:ascii="仿宋_GB2312" w:hAnsi="仿宋_GB2312" w:eastAsia="仿宋_GB2312" w:cs="仿宋_GB2312"/>
          <w:color w:val="auto"/>
          <w:sz w:val="32"/>
          <w:szCs w:val="32"/>
          <w:lang w:val="en-US" w:eastAsia="zh-CN"/>
        </w:rPr>
        <w:t>&lt;殡葬管理条例&gt;办法</w:t>
      </w:r>
      <w:r>
        <w:rPr>
          <w:rFonts w:hint="eastAsia" w:ascii="仿宋_GB2312" w:hAnsi="仿宋_GB2312" w:eastAsia="仿宋_GB2312" w:cs="仿宋_GB2312"/>
          <w:color w:val="auto"/>
          <w:sz w:val="32"/>
          <w:szCs w:val="32"/>
        </w:rPr>
        <w:t>》有关法律</w:t>
      </w:r>
      <w:r>
        <w:rPr>
          <w:rFonts w:hint="eastAsia" w:ascii="仿宋_GB2312" w:hAnsi="仿宋_GB2312" w:eastAsia="仿宋_GB2312" w:cs="仿宋_GB2312"/>
          <w:color w:val="auto"/>
          <w:sz w:val="32"/>
          <w:szCs w:val="32"/>
          <w:lang w:eastAsia="zh-CN"/>
        </w:rPr>
        <w:t>法规</w:t>
      </w:r>
      <w:r>
        <w:rPr>
          <w:rFonts w:hint="eastAsia" w:ascii="仿宋_GB2312" w:hAnsi="仿宋_GB2312" w:eastAsia="仿宋_GB2312" w:cs="仿宋_GB2312"/>
          <w:color w:val="auto"/>
          <w:sz w:val="32"/>
          <w:szCs w:val="32"/>
        </w:rPr>
        <w:t>规定，制定本办法。</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第二条 </w:t>
      </w:r>
      <w:r>
        <w:rPr>
          <w:rFonts w:hint="eastAsia" w:ascii="仿宋_GB2312" w:hAnsi="仿宋_GB2312" w:eastAsia="仿宋_GB2312" w:cs="仿宋_GB2312"/>
          <w:color w:val="auto"/>
          <w:sz w:val="32"/>
          <w:szCs w:val="32"/>
        </w:rPr>
        <w:t xml:space="preserve"> 经营性公墓年检是指各级民政部门根据法律规定和有关要求，按年度对行政区域内经营性公墓的审批、建设、经营、服务、管理等情况进行行政检查和监督管理的制度。</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第三条  </w:t>
      </w:r>
      <w:r>
        <w:rPr>
          <w:rFonts w:hint="eastAsia" w:ascii="仿宋_GB2312" w:hAnsi="仿宋_GB2312" w:eastAsia="仿宋_GB2312" w:cs="仿宋_GB2312"/>
          <w:color w:val="auto"/>
          <w:sz w:val="32"/>
          <w:szCs w:val="32"/>
        </w:rPr>
        <w:t>本办法适用于</w:t>
      </w:r>
      <w:r>
        <w:rPr>
          <w:rFonts w:hint="eastAsia" w:ascii="仿宋_GB2312" w:hAnsi="仿宋_GB2312" w:eastAsia="仿宋_GB2312" w:cs="仿宋_GB2312"/>
          <w:color w:val="auto"/>
          <w:sz w:val="32"/>
          <w:szCs w:val="32"/>
          <w:lang w:eastAsia="zh-CN"/>
        </w:rPr>
        <w:t>湖南</w:t>
      </w:r>
      <w:r>
        <w:rPr>
          <w:rFonts w:hint="eastAsia" w:ascii="仿宋_GB2312" w:hAnsi="仿宋_GB2312" w:eastAsia="仿宋_GB2312" w:cs="仿宋_GB2312"/>
          <w:color w:val="auto"/>
          <w:sz w:val="32"/>
          <w:szCs w:val="32"/>
        </w:rPr>
        <w:t>省行政区域内经合法审批建设的经营性公墓。</w:t>
      </w:r>
    </w:p>
    <w:p>
      <w:pPr>
        <w:keepNext w:val="0"/>
        <w:keepLines w:val="0"/>
        <w:pageBreakBefore w:val="0"/>
        <w:widowControl w:val="0"/>
        <w:kinsoku/>
        <w:wordWrap/>
        <w:overflowPunct/>
        <w:topLinePunct w:val="0"/>
        <w:autoSpaceDE w:val="0"/>
        <w:autoSpaceDN w:val="0"/>
        <w:bidi w:val="0"/>
        <w:adjustRightInd w:val="0"/>
        <w:snapToGrid w:val="0"/>
        <w:spacing w:before="0" w:beforeLines="50" w:after="0" w:afterLines="50" w:line="580" w:lineRule="exact"/>
        <w:ind w:left="0" w:leftChars="0" w:right="0" w:rightChars="0" w:firstLine="0" w:firstLineChars="0"/>
        <w:jc w:val="center"/>
        <w:textAlignment w:val="baseline"/>
        <w:outlineLvl w:val="9"/>
        <w:rPr>
          <w:rFonts w:hint="eastAsia" w:ascii="黑体" w:hAnsi="黑体" w:eastAsia="黑体" w:cs="黑体"/>
          <w:color w:val="auto"/>
          <w:sz w:val="32"/>
          <w:szCs w:val="32"/>
        </w:rPr>
      </w:pPr>
      <w:r>
        <w:rPr>
          <w:rFonts w:hint="eastAsia" w:ascii="黑体" w:hAnsi="黑体" w:eastAsia="黑体" w:cs="黑体"/>
          <w:color w:val="auto"/>
          <w:sz w:val="32"/>
          <w:szCs w:val="32"/>
        </w:rPr>
        <w:t>第二章  组织实施</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第四条 </w:t>
      </w:r>
      <w:r>
        <w:rPr>
          <w:rFonts w:hint="eastAsia" w:ascii="仿宋_GB2312" w:hAnsi="仿宋_GB2312" w:eastAsia="仿宋_GB2312" w:cs="仿宋_GB2312"/>
          <w:color w:val="auto"/>
          <w:sz w:val="32"/>
          <w:szCs w:val="32"/>
        </w:rPr>
        <w:t xml:space="preserve"> 市（州）民政局负责本市（州）行政区域内经营性公墓的年检工作。</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第五条 </w:t>
      </w:r>
      <w:r>
        <w:rPr>
          <w:rFonts w:hint="eastAsia" w:ascii="仿宋_GB2312" w:hAnsi="仿宋_GB2312" w:eastAsia="仿宋_GB2312" w:cs="仿宋_GB2312"/>
          <w:color w:val="auto"/>
          <w:sz w:val="32"/>
          <w:szCs w:val="32"/>
        </w:rPr>
        <w:t xml:space="preserve"> 省民政厅负责监督、指导全省范围内经营性公墓的年检工作，适时开展“双随机、一公开”监督抽查。</w:t>
      </w:r>
    </w:p>
    <w:p>
      <w:pPr>
        <w:keepNext w:val="0"/>
        <w:keepLines w:val="0"/>
        <w:pageBreakBefore w:val="0"/>
        <w:widowControl w:val="0"/>
        <w:kinsoku/>
        <w:wordWrap/>
        <w:overflowPunct/>
        <w:topLinePunct w:val="0"/>
        <w:autoSpaceDE w:val="0"/>
        <w:autoSpaceDN w:val="0"/>
        <w:bidi w:val="0"/>
        <w:adjustRightInd w:val="0"/>
        <w:snapToGrid w:val="0"/>
        <w:spacing w:before="0" w:beforeLines="50" w:after="0" w:afterLines="50" w:line="580" w:lineRule="exact"/>
        <w:ind w:left="0" w:leftChars="0" w:right="0" w:rightChars="0" w:firstLine="0" w:firstLineChars="0"/>
        <w:jc w:val="center"/>
        <w:textAlignment w:val="baseline"/>
        <w:outlineLvl w:val="9"/>
        <w:rPr>
          <w:rFonts w:hint="eastAsia" w:ascii="黑体" w:hAnsi="黑体" w:eastAsia="黑体" w:cs="黑体"/>
          <w:color w:val="auto"/>
          <w:sz w:val="32"/>
          <w:szCs w:val="32"/>
        </w:rPr>
      </w:pPr>
      <w:r>
        <w:rPr>
          <w:rFonts w:hint="eastAsia" w:ascii="黑体" w:hAnsi="黑体" w:eastAsia="黑体" w:cs="黑体"/>
          <w:color w:val="auto"/>
          <w:sz w:val="32"/>
          <w:szCs w:val="32"/>
        </w:rPr>
        <w:t>第三章  年检内容</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第六条</w:t>
      </w:r>
      <w:r>
        <w:rPr>
          <w:rFonts w:hint="eastAsia" w:ascii="仿宋_GB2312" w:hAnsi="仿宋_GB2312" w:eastAsia="仿宋_GB2312" w:cs="仿宋_GB2312"/>
          <w:color w:val="auto"/>
          <w:sz w:val="32"/>
          <w:szCs w:val="32"/>
        </w:rPr>
        <w:t xml:space="preserve">  经营性公墓年检的主要内容包括审批、建设、经营、服务、管理等五个方面。</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第七条</w:t>
      </w:r>
      <w:r>
        <w:rPr>
          <w:rFonts w:hint="eastAsia" w:ascii="仿宋_GB2312" w:hAnsi="仿宋_GB2312" w:eastAsia="仿宋_GB2312" w:cs="仿宋_GB2312"/>
          <w:color w:val="auto"/>
          <w:sz w:val="32"/>
          <w:szCs w:val="32"/>
        </w:rPr>
        <w:t xml:space="preserve">  审批方面主要检查：是否依法办理公墓建设审批手续；公墓建设是否符合国土空间规划；是否依法取得国有土地（林地）使用权证；有无擅自变更行政许可内容</w:t>
      </w:r>
      <w:r>
        <w:rPr>
          <w:rFonts w:hint="eastAsia" w:ascii="仿宋_GB2312" w:hAnsi="仿宋_GB2312" w:eastAsia="仿宋_GB2312" w:cs="仿宋_GB2312"/>
          <w:color w:val="auto"/>
          <w:sz w:val="32"/>
          <w:szCs w:val="32"/>
          <w:lang w:eastAsia="zh-CN"/>
        </w:rPr>
        <w:t>（包含公墓名称、法人代表、经营主体资格、公墓性质、公墓占地面积）</w:t>
      </w:r>
      <w:r>
        <w:rPr>
          <w:rFonts w:hint="eastAsia" w:ascii="仿宋_GB2312" w:hAnsi="仿宋_GB2312" w:eastAsia="仿宋_GB2312" w:cs="仿宋_GB2312"/>
          <w:color w:val="auto"/>
          <w:sz w:val="32"/>
          <w:szCs w:val="32"/>
        </w:rPr>
        <w:t>等。</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第八条 </w:t>
      </w:r>
      <w:r>
        <w:rPr>
          <w:rFonts w:hint="eastAsia" w:ascii="仿宋_GB2312" w:hAnsi="仿宋_GB2312" w:eastAsia="仿宋_GB2312" w:cs="仿宋_GB2312"/>
          <w:color w:val="auto"/>
          <w:sz w:val="32"/>
          <w:szCs w:val="32"/>
        </w:rPr>
        <w:t xml:space="preserve"> 建设方面主要检查：是否严格按批复文件要求建设墓区；有无超出批准用地范围建设墓穴；是否修建超标准墓穴；是否超标准建设墓位（含墓基、墓身、墓碑）</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是否按要求建设节地生态安葬墓区；墓区配套设施是否建设齐全；墓区环境是否干净、整洁、庄重等。</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第九条 </w:t>
      </w:r>
      <w:r>
        <w:rPr>
          <w:rFonts w:hint="eastAsia" w:ascii="仿宋_GB2312" w:hAnsi="仿宋_GB2312" w:eastAsia="仿宋_GB2312" w:cs="仿宋_GB2312"/>
          <w:color w:val="auto"/>
          <w:sz w:val="32"/>
          <w:szCs w:val="32"/>
        </w:rPr>
        <w:t xml:space="preserve"> 经营方面主要检查：是否严格按照价格管理部门核定的收费标准进行收费；殡葬服务收费项目和收费标准是否</w:t>
      </w:r>
      <w:r>
        <w:rPr>
          <w:rFonts w:hint="eastAsia" w:ascii="仿宋_GB2312" w:hAnsi="仿宋_GB2312" w:eastAsia="仿宋_GB2312" w:cs="仿宋_GB2312"/>
          <w:color w:val="auto"/>
          <w:sz w:val="32"/>
          <w:szCs w:val="32"/>
          <w:lang w:val="en-US" w:eastAsia="zh-CN"/>
        </w:rPr>
        <w:t>经行业主管部门审核同意后向价格主管部门备案</w:t>
      </w:r>
      <w:r>
        <w:rPr>
          <w:rFonts w:hint="eastAsia" w:ascii="仿宋_GB2312" w:hAnsi="仿宋_GB2312" w:eastAsia="仿宋_GB2312" w:cs="仿宋_GB2312"/>
          <w:color w:val="auto"/>
          <w:sz w:val="32"/>
          <w:szCs w:val="32"/>
        </w:rPr>
        <w:t>；殡葬服务收费项目和收费标准是否全面实行收费公示和明码标价制度；是否签订规范合同，约定使用周期和管理费；是否按规定提取、使用维护费,专户存储；是否使用规范的骨灰安放证书；有无违规预售墓（格）位；有无限制丧属自带合法丧葬用品；有无出售污染环境的祭祀用品等。</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第十条 </w:t>
      </w:r>
      <w:r>
        <w:rPr>
          <w:rFonts w:hint="eastAsia" w:ascii="仿宋_GB2312" w:hAnsi="仿宋_GB2312" w:eastAsia="仿宋_GB2312" w:cs="仿宋_GB2312"/>
          <w:color w:val="auto"/>
          <w:sz w:val="32"/>
          <w:szCs w:val="32"/>
        </w:rPr>
        <w:t xml:space="preserve"> 服务方面主要检查：是否制定标准服务流程和服务规范；是否主动公开服务投诉和监督电话；是否积极开展惠民殡葬和节地生态安葬政策宣传；工作人员是否熟知殡葬服务管理有关法规政策和业务知识；工作人员是否着装整洁、举止得体、热情周到等。</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第十一条 </w:t>
      </w:r>
      <w:r>
        <w:rPr>
          <w:rFonts w:hint="eastAsia" w:ascii="仿宋_GB2312" w:hAnsi="仿宋_GB2312" w:eastAsia="仿宋_GB2312" w:cs="仿宋_GB2312"/>
          <w:color w:val="auto"/>
          <w:sz w:val="32"/>
          <w:szCs w:val="32"/>
        </w:rPr>
        <w:t xml:space="preserve"> 管理方面主要检查：是否建立完善的规章制度；安全管理责任和疫情防控责任是否压实到位；是否建立健全了祭扫服务应急预案，是否开展了消防安全演练，消防安全设施是否齐备</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是否经常性开展安全隐患排查；是否按规定开展殡葬领域突出问题专项整治，加强殡葬行风建设；是否规范管理骨灰安葬档案；有无群众有效投诉或</w:t>
      </w:r>
      <w:r>
        <w:rPr>
          <w:rFonts w:hint="eastAsia" w:ascii="仿宋_GB2312" w:hAnsi="仿宋_GB2312" w:eastAsia="仿宋_GB2312" w:cs="仿宋_GB2312"/>
          <w:color w:val="auto"/>
          <w:sz w:val="32"/>
          <w:szCs w:val="32"/>
          <w:lang w:eastAsia="zh-CN"/>
        </w:rPr>
        <w:t>较大的</w:t>
      </w:r>
      <w:r>
        <w:rPr>
          <w:rFonts w:hint="eastAsia" w:ascii="仿宋_GB2312" w:hAnsi="仿宋_GB2312" w:eastAsia="仿宋_GB2312" w:cs="仿宋_GB2312"/>
          <w:color w:val="auto"/>
          <w:sz w:val="32"/>
          <w:szCs w:val="32"/>
        </w:rPr>
        <w:t>媒体负面舆情；有无发生安全责任事故等。</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第十二条 </w:t>
      </w:r>
      <w:r>
        <w:rPr>
          <w:rFonts w:hint="eastAsia" w:ascii="仿宋_GB2312" w:hAnsi="仿宋_GB2312" w:eastAsia="仿宋_GB2312" w:cs="仿宋_GB2312"/>
          <w:color w:val="auto"/>
          <w:sz w:val="32"/>
          <w:szCs w:val="32"/>
        </w:rPr>
        <w:t xml:space="preserve"> 省民政厅根据年检内容制定《</w:t>
      </w:r>
      <w:r>
        <w:rPr>
          <w:rFonts w:hint="eastAsia" w:ascii="仿宋_GB2312" w:hAnsi="仿宋_GB2312" w:eastAsia="仿宋_GB2312" w:cs="仿宋_GB2312"/>
          <w:color w:val="auto"/>
          <w:sz w:val="32"/>
          <w:szCs w:val="32"/>
          <w:lang w:eastAsia="zh-CN"/>
        </w:rPr>
        <w:t>湖南</w:t>
      </w:r>
      <w:r>
        <w:rPr>
          <w:rFonts w:hint="eastAsia" w:ascii="仿宋_GB2312" w:hAnsi="仿宋_GB2312" w:eastAsia="仿宋_GB2312" w:cs="仿宋_GB2312"/>
          <w:color w:val="auto"/>
          <w:sz w:val="32"/>
          <w:szCs w:val="32"/>
        </w:rPr>
        <w:t>省经营性公墓年检</w:t>
      </w:r>
      <w:r>
        <w:rPr>
          <w:rFonts w:hint="eastAsia" w:ascii="仿宋_GB2312" w:hAnsi="仿宋_GB2312" w:eastAsia="仿宋_GB2312" w:cs="仿宋_GB2312"/>
          <w:color w:val="auto"/>
          <w:sz w:val="32"/>
          <w:szCs w:val="32"/>
          <w:lang w:eastAsia="zh-CN"/>
        </w:rPr>
        <w:t>评分标准</w:t>
      </w:r>
      <w:r>
        <w:rPr>
          <w:rFonts w:hint="eastAsia" w:ascii="仿宋_GB2312" w:hAnsi="仿宋_GB2312" w:eastAsia="仿宋_GB2312" w:cs="仿宋_GB2312"/>
          <w:color w:val="auto"/>
          <w:sz w:val="32"/>
          <w:szCs w:val="32"/>
        </w:rPr>
        <w:t>表》，细化、量化评分项目，统一评分标准。</w:t>
      </w:r>
    </w:p>
    <w:p>
      <w:pPr>
        <w:keepNext w:val="0"/>
        <w:keepLines w:val="0"/>
        <w:pageBreakBefore w:val="0"/>
        <w:widowControl w:val="0"/>
        <w:kinsoku/>
        <w:wordWrap/>
        <w:overflowPunct/>
        <w:topLinePunct w:val="0"/>
        <w:autoSpaceDE w:val="0"/>
        <w:autoSpaceDN w:val="0"/>
        <w:bidi w:val="0"/>
        <w:adjustRightInd w:val="0"/>
        <w:snapToGrid w:val="0"/>
        <w:spacing w:before="0" w:beforeLines="50" w:after="0" w:afterLines="50" w:line="560" w:lineRule="exact"/>
        <w:ind w:left="0" w:leftChars="0" w:right="0" w:rightChars="0" w:firstLine="0" w:firstLineChars="0"/>
        <w:jc w:val="center"/>
        <w:textAlignment w:val="baseline"/>
        <w:outlineLvl w:val="9"/>
        <w:rPr>
          <w:rFonts w:hint="eastAsia" w:ascii="黑体" w:hAnsi="黑体" w:eastAsia="黑体" w:cs="黑体"/>
          <w:color w:val="auto"/>
          <w:sz w:val="32"/>
          <w:szCs w:val="32"/>
        </w:rPr>
      </w:pPr>
      <w:r>
        <w:rPr>
          <w:rFonts w:hint="eastAsia" w:ascii="黑体" w:hAnsi="黑体" w:eastAsia="黑体" w:cs="黑体"/>
          <w:color w:val="auto"/>
          <w:sz w:val="32"/>
          <w:szCs w:val="32"/>
          <w:lang w:eastAsia="zh-CN"/>
        </w:rPr>
        <w:t>第四章</w:t>
      </w:r>
      <w:r>
        <w:rPr>
          <w:rFonts w:hint="eastAsia" w:ascii="黑体" w:hAnsi="黑体" w:eastAsia="黑体" w:cs="黑体"/>
          <w:color w:val="auto"/>
          <w:sz w:val="32"/>
          <w:szCs w:val="32"/>
          <w:lang w:val="en-US" w:eastAsia="zh-CN"/>
        </w:rPr>
        <w:t xml:space="preserve"> </w:t>
      </w:r>
      <w:r>
        <w:rPr>
          <w:rFonts w:hint="eastAsia" w:ascii="黑体" w:hAnsi="黑体" w:eastAsia="黑体" w:cs="黑体"/>
          <w:color w:val="auto"/>
          <w:sz w:val="32"/>
          <w:szCs w:val="32"/>
        </w:rPr>
        <w:t xml:space="preserve"> 年检程序</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第十三条</w:t>
      </w:r>
      <w:r>
        <w:rPr>
          <w:rFonts w:hint="eastAsia" w:ascii="楷体_GB2312" w:hAnsi="楷体_GB2312" w:eastAsia="楷体_GB2312" w:cs="楷体_GB2312"/>
          <w:b/>
          <w:bCs/>
          <w:color w:val="auto"/>
          <w:sz w:val="32"/>
          <w:szCs w:val="32"/>
          <w:lang w:val="en-US" w:eastAsia="zh-CN"/>
        </w:rPr>
        <w:t xml:space="preserve">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经营性公墓的年检工作总体上按照下达年检通知、公墓自查、县级初查、市级检查、省级备案等程序进行。</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第十四条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市（州）民政局于每年第一季度下达对上年度经营性公墓建设、经营、管理等情况进行年检的通知。当年建成投入使用的经营性公墓，自下一年起参加年检。</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第十五条 </w:t>
      </w:r>
      <w:r>
        <w:rPr>
          <w:rFonts w:hint="eastAsia" w:ascii="仿宋_GB2312" w:hAnsi="仿宋_GB2312" w:eastAsia="仿宋_GB2312" w:cs="仿宋_GB2312"/>
          <w:color w:val="auto"/>
          <w:sz w:val="32"/>
          <w:szCs w:val="32"/>
        </w:rPr>
        <w:t xml:space="preserve"> 各经营性公墓按年检通知要求，及时做好总结、自查工作，按时提交下列材料：</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（一）</w:t>
      </w:r>
      <w:r>
        <w:rPr>
          <w:rFonts w:hint="eastAsia" w:ascii="仿宋_GB2312" w:hAnsi="仿宋_GB2312" w:eastAsia="仿宋_GB2312" w:cs="仿宋_GB2312"/>
          <w:color w:val="auto"/>
          <w:sz w:val="32"/>
          <w:szCs w:val="32"/>
          <w:lang w:eastAsia="zh-CN"/>
        </w:rPr>
        <w:t>经营性公墓自查报告；</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二</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经营性公墓年度检查申报表；</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0" w:firstLineChars="200"/>
        <w:jc w:val="left"/>
        <w:textAlignment w:val="baseline"/>
        <w:outlineLvl w:val="9"/>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三</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筹建批复的文件复印件；</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四</w:t>
      </w:r>
      <w:r>
        <w:rPr>
          <w:rFonts w:hint="eastAsia" w:ascii="仿宋_GB2312" w:hAnsi="仿宋_GB2312" w:eastAsia="仿宋_GB2312" w:cs="仿宋_GB2312"/>
          <w:color w:val="auto"/>
          <w:sz w:val="32"/>
          <w:szCs w:val="32"/>
        </w:rPr>
        <w:t>）经营性公墓证书副本；</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五</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营业执照（副本）或事业单位法人证书（副本）复印件；</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六</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土地使用批准手续复印件；</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七</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服务项目和收费标准备案材料；</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八</w:t>
      </w:r>
      <w:r>
        <w:rPr>
          <w:rFonts w:hint="eastAsia" w:ascii="仿宋_GB2312" w:hAnsi="仿宋_GB2312" w:eastAsia="仿宋_GB2312" w:cs="仿宋_GB2312"/>
          <w:color w:val="auto"/>
          <w:sz w:val="32"/>
          <w:szCs w:val="32"/>
        </w:rPr>
        <w:t>）财务决算报表和上一年度财务审计报告</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val="0"/>
        <w:autoSpaceDN w:val="0"/>
        <w:bidi w:val="0"/>
        <w:adjustRightInd w:val="0"/>
        <w:snapToGrid w:val="0"/>
        <w:spacing w:line="56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九</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已签订的墓位（含节地生态方式）安葬协议书复印件一份；</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（十）开户银行或财政部门出具的公墓维护管理费专用账户资金证明;</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（十一）上一年度墓位建设情况，预售墓位情况，销售墓位录入全省殡葬管理系统情况资料；</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（十二）</w:t>
      </w:r>
      <w:r>
        <w:rPr>
          <w:rFonts w:hint="eastAsia" w:ascii="仿宋_GB2312" w:hAnsi="仿宋_GB2312" w:eastAsia="仿宋_GB2312" w:cs="仿宋_GB2312"/>
          <w:color w:val="auto"/>
          <w:sz w:val="32"/>
          <w:szCs w:val="32"/>
        </w:rPr>
        <w:t>其它需要提供的佐证资料</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第十六条  </w:t>
      </w:r>
      <w:r>
        <w:rPr>
          <w:rFonts w:hint="eastAsia" w:ascii="仿宋_GB2312" w:hAnsi="仿宋_GB2312" w:eastAsia="仿宋_GB2312" w:cs="仿宋_GB2312"/>
          <w:color w:val="auto"/>
          <w:sz w:val="32"/>
          <w:szCs w:val="32"/>
        </w:rPr>
        <w:t>县（市、区）民政局对经营性公墓报送的材料进行初审，发现报送不齐或有疑义的，及时要求经营性公墓予以补充或作出说明，必要时可以进行调查核实。</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县（市、区）民政局应当在15日内完成初审，出具初审意见，连同经营性公墓报送的材料，一并报市（州）民政局。</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第十七条</w:t>
      </w:r>
      <w:r>
        <w:rPr>
          <w:rFonts w:hint="eastAsia" w:ascii="仿宋_GB2312" w:hAnsi="仿宋_GB2312" w:eastAsia="仿宋_GB2312" w:cs="仿宋_GB2312"/>
          <w:color w:val="auto"/>
          <w:sz w:val="32"/>
          <w:szCs w:val="32"/>
        </w:rPr>
        <w:t xml:space="preserve">  市（州）民政局收到县（市、区）民政局报送的经营性公墓材料和初审意见后，对照评分标准进行审查打分，确定年检结论。审查过程中可</w:t>
      </w:r>
      <w:r>
        <w:rPr>
          <w:rFonts w:hint="eastAsia" w:ascii="仿宋_GB2312" w:hAnsi="仿宋_GB2312" w:eastAsia="仿宋_GB2312" w:cs="仿宋_GB2312"/>
          <w:color w:val="auto"/>
          <w:sz w:val="32"/>
          <w:szCs w:val="32"/>
          <w:lang w:eastAsia="zh-CN"/>
        </w:rPr>
        <w:t>会同自然资源、林业主管部门一起</w:t>
      </w:r>
      <w:r>
        <w:rPr>
          <w:rFonts w:hint="eastAsia" w:ascii="仿宋_GB2312" w:hAnsi="仿宋_GB2312" w:eastAsia="仿宋_GB2312" w:cs="仿宋_GB2312"/>
          <w:color w:val="auto"/>
          <w:sz w:val="32"/>
          <w:szCs w:val="32"/>
        </w:rPr>
        <w:t>组织行业监管人员、</w:t>
      </w:r>
      <w:r>
        <w:rPr>
          <w:rFonts w:hint="eastAsia" w:ascii="仿宋_GB2312" w:hAnsi="仿宋_GB2312" w:eastAsia="仿宋_GB2312" w:cs="仿宋_GB2312"/>
          <w:color w:val="auto"/>
          <w:sz w:val="32"/>
          <w:szCs w:val="32"/>
          <w:lang w:eastAsia="zh-CN"/>
        </w:rPr>
        <w:t>财务专业人员、</w:t>
      </w:r>
      <w:r>
        <w:rPr>
          <w:rFonts w:hint="eastAsia" w:ascii="仿宋_GB2312" w:hAnsi="仿宋_GB2312" w:eastAsia="仿宋_GB2312" w:cs="仿宋_GB2312"/>
          <w:color w:val="auto"/>
          <w:sz w:val="32"/>
          <w:szCs w:val="32"/>
        </w:rPr>
        <w:t>专家、从业者、公墓单位代表等人员，对经营性公墓实地查验，开展联合会审。</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第十八条  </w:t>
      </w:r>
      <w:r>
        <w:rPr>
          <w:rFonts w:hint="eastAsia" w:ascii="仿宋_GB2312" w:hAnsi="仿宋_GB2312" w:eastAsia="仿宋_GB2312" w:cs="仿宋_GB2312"/>
          <w:color w:val="auto"/>
          <w:sz w:val="32"/>
          <w:szCs w:val="32"/>
        </w:rPr>
        <w:t>市（州）属经营性公墓由主管部门进行初审，出具初审意见，连同经营性公墓报送的材料，一并报市（州）民政局进行年检。</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第十九条 </w:t>
      </w:r>
      <w:r>
        <w:rPr>
          <w:rFonts w:hint="eastAsia" w:ascii="仿宋_GB2312" w:hAnsi="仿宋_GB2312" w:eastAsia="仿宋_GB2312" w:cs="仿宋_GB2312"/>
          <w:color w:val="auto"/>
          <w:sz w:val="32"/>
          <w:szCs w:val="32"/>
        </w:rPr>
        <w:t xml:space="preserve"> 市（州）民政局应建立完善的经营性公墓年检档案，并妥善保管。</w:t>
      </w:r>
    </w:p>
    <w:p>
      <w:pPr>
        <w:keepNext w:val="0"/>
        <w:keepLines w:val="0"/>
        <w:pageBreakBefore w:val="0"/>
        <w:widowControl w:val="0"/>
        <w:kinsoku/>
        <w:wordWrap/>
        <w:overflowPunct/>
        <w:topLinePunct w:val="0"/>
        <w:autoSpaceDE w:val="0"/>
        <w:autoSpaceDN w:val="0"/>
        <w:bidi w:val="0"/>
        <w:adjustRightInd w:val="0"/>
        <w:snapToGrid w:val="0"/>
        <w:spacing w:before="0" w:beforeLines="50" w:after="0" w:afterLines="50" w:line="580" w:lineRule="exact"/>
        <w:ind w:left="0" w:leftChars="0" w:right="0" w:rightChars="0" w:firstLine="0" w:firstLineChars="0"/>
        <w:jc w:val="center"/>
        <w:textAlignment w:val="baseline"/>
        <w:outlineLvl w:val="9"/>
        <w:rPr>
          <w:rFonts w:hint="eastAsia" w:ascii="黑体" w:hAnsi="黑体" w:eastAsia="黑体" w:cs="黑体"/>
          <w:color w:val="auto"/>
          <w:sz w:val="32"/>
          <w:szCs w:val="32"/>
        </w:rPr>
      </w:pPr>
      <w:r>
        <w:rPr>
          <w:rFonts w:hint="eastAsia" w:ascii="黑体" w:hAnsi="黑体" w:eastAsia="黑体" w:cs="黑体"/>
          <w:color w:val="auto"/>
          <w:sz w:val="32"/>
          <w:szCs w:val="32"/>
        </w:rPr>
        <w:t>第五章  年检结论</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第二十条</w:t>
      </w:r>
      <w:r>
        <w:rPr>
          <w:rFonts w:hint="eastAsia" w:ascii="仿宋_GB2312" w:hAnsi="仿宋_GB2312" w:eastAsia="仿宋_GB2312" w:cs="仿宋_GB2312"/>
          <w:color w:val="auto"/>
          <w:sz w:val="32"/>
          <w:szCs w:val="32"/>
        </w:rPr>
        <w:t xml:space="preserve">  经营性公墓年检的结论分为“合格”、“基本合格”、“不合格”三类。</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（一）年检得分为80分及以上的</w:t>
      </w:r>
      <w:r>
        <w:rPr>
          <w:rFonts w:hint="eastAsia" w:ascii="仿宋_GB2312" w:hAnsi="仿宋_GB2312" w:eastAsia="仿宋_GB2312" w:cs="仿宋_GB2312"/>
          <w:color w:val="auto"/>
          <w:sz w:val="32"/>
          <w:szCs w:val="32"/>
          <w:lang w:eastAsia="zh-CN"/>
        </w:rPr>
        <w:t>且无“不合格”规定情形的</w:t>
      </w:r>
      <w:r>
        <w:rPr>
          <w:rFonts w:hint="eastAsia" w:ascii="仿宋_GB2312" w:hAnsi="仿宋_GB2312" w:eastAsia="仿宋_GB2312" w:cs="仿宋_GB2312"/>
          <w:color w:val="auto"/>
          <w:sz w:val="32"/>
          <w:szCs w:val="32"/>
        </w:rPr>
        <w:t>，确定为合格；</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（二）年检得分为60分至79分的</w:t>
      </w:r>
      <w:r>
        <w:rPr>
          <w:rFonts w:hint="eastAsia" w:ascii="仿宋_GB2312" w:hAnsi="仿宋_GB2312" w:eastAsia="仿宋_GB2312" w:cs="仿宋_GB2312"/>
          <w:color w:val="auto"/>
          <w:sz w:val="32"/>
          <w:szCs w:val="32"/>
          <w:lang w:eastAsia="zh-CN"/>
        </w:rPr>
        <w:t>且无“不合格”规定情形的</w:t>
      </w:r>
      <w:r>
        <w:rPr>
          <w:rFonts w:hint="eastAsia" w:ascii="仿宋_GB2312" w:hAnsi="仿宋_GB2312" w:eastAsia="仿宋_GB2312" w:cs="仿宋_GB2312"/>
          <w:color w:val="auto"/>
          <w:sz w:val="32"/>
          <w:szCs w:val="32"/>
        </w:rPr>
        <w:t>，确定为基本合格。</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（三）年检得分在</w:t>
      </w:r>
      <w:r>
        <w:rPr>
          <w:rFonts w:hint="eastAsia" w:ascii="仿宋_GB2312" w:hAnsi="仿宋_GB2312" w:eastAsia="仿宋_GB2312" w:cs="仿宋_GB2312"/>
          <w:color w:val="auto"/>
          <w:sz w:val="32"/>
          <w:szCs w:val="32"/>
          <w:lang w:val="en-US" w:eastAsia="zh-CN"/>
        </w:rPr>
        <w:t>60</w:t>
      </w:r>
      <w:r>
        <w:rPr>
          <w:rFonts w:hint="eastAsia" w:ascii="仿宋_GB2312" w:hAnsi="仿宋_GB2312" w:eastAsia="仿宋_GB2312" w:cs="仿宋_GB2312"/>
          <w:color w:val="auto"/>
          <w:sz w:val="32"/>
          <w:szCs w:val="32"/>
        </w:rPr>
        <w:t>分</w:t>
      </w:r>
      <w:r>
        <w:rPr>
          <w:rFonts w:hint="eastAsia" w:ascii="仿宋_GB2312" w:hAnsi="仿宋_GB2312" w:eastAsia="仿宋_GB2312" w:cs="仿宋_GB2312"/>
          <w:color w:val="auto"/>
          <w:sz w:val="32"/>
          <w:szCs w:val="32"/>
          <w:lang w:eastAsia="zh-CN"/>
        </w:rPr>
        <w:t>（不含）</w:t>
      </w:r>
      <w:r>
        <w:rPr>
          <w:rFonts w:hint="eastAsia" w:ascii="仿宋_GB2312" w:hAnsi="仿宋_GB2312" w:eastAsia="仿宋_GB2312" w:cs="仿宋_GB2312"/>
          <w:color w:val="auto"/>
          <w:sz w:val="32"/>
          <w:szCs w:val="32"/>
        </w:rPr>
        <w:t>以下的，确定为不合格。</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第二十一条  经营性公墓有下列行为之一的，应确定为不合格</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w:t>
      </w:r>
      <w:r>
        <w:rPr>
          <w:rFonts w:hint="eastAsia" w:ascii="仿宋_GB2312" w:hAnsi="仿宋_GB2312" w:eastAsia="仿宋_GB2312" w:cs="仿宋_GB2312"/>
          <w:color w:val="auto"/>
          <w:sz w:val="32"/>
          <w:szCs w:val="32"/>
          <w:lang w:eastAsia="zh-CN"/>
        </w:rPr>
        <w:t>未在规定时间内报送年度检查材料或拒不接受检查</w:t>
      </w:r>
      <w:r>
        <w:rPr>
          <w:rFonts w:hint="eastAsia" w:ascii="仿宋_GB2312" w:hAnsi="仿宋_GB2312" w:eastAsia="仿宋_GB2312" w:cs="仿宋_GB2312"/>
          <w:color w:val="auto"/>
          <w:sz w:val="32"/>
          <w:szCs w:val="32"/>
        </w:rPr>
        <w:t>的；</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（二）有炒买炒卖墓穴、擅自扩大墓区面积、擅自变更行政许可事项等违法违规行为的；</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（三）多次受到群众投诉或信访，对反映的合理问题拒不纠正和解决的；</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（四）经营管理混乱不能正常开展服务的；</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（五）发生重大安全责任事故</w:t>
      </w:r>
      <w:r>
        <w:rPr>
          <w:rFonts w:hint="eastAsia" w:ascii="仿宋_GB2312" w:hAnsi="仿宋_GB2312" w:eastAsia="仿宋_GB2312" w:cs="仿宋_GB2312"/>
          <w:color w:val="auto"/>
          <w:sz w:val="32"/>
          <w:szCs w:val="32"/>
          <w:lang w:eastAsia="zh-CN"/>
        </w:rPr>
        <w:t>的；</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（六）年检中提供虚假资料；</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（七）有其它违法违规行为的。</w:t>
      </w:r>
    </w:p>
    <w:p>
      <w:pPr>
        <w:keepNext w:val="0"/>
        <w:keepLines w:val="0"/>
        <w:pageBreakBefore w:val="0"/>
        <w:widowControl w:val="0"/>
        <w:kinsoku/>
        <w:wordWrap/>
        <w:overflowPunct/>
        <w:topLinePunct w:val="0"/>
        <w:autoSpaceDE w:val="0"/>
        <w:autoSpaceDN w:val="0"/>
        <w:bidi w:val="0"/>
        <w:adjustRightInd w:val="0"/>
        <w:snapToGrid w:val="0"/>
        <w:spacing w:before="0" w:beforeLines="50" w:after="0" w:afterLines="50" w:line="580" w:lineRule="exact"/>
        <w:ind w:left="0" w:leftChars="0" w:right="0" w:rightChars="0" w:firstLine="0" w:firstLineChars="0"/>
        <w:jc w:val="center"/>
        <w:textAlignment w:val="baseline"/>
        <w:outlineLvl w:val="9"/>
        <w:rPr>
          <w:rFonts w:hint="eastAsia" w:ascii="黑体" w:hAnsi="黑体" w:eastAsia="黑体" w:cs="黑体"/>
          <w:color w:val="auto"/>
          <w:sz w:val="32"/>
          <w:szCs w:val="32"/>
        </w:rPr>
      </w:pPr>
      <w:r>
        <w:rPr>
          <w:rFonts w:hint="eastAsia" w:ascii="黑体" w:hAnsi="黑体" w:eastAsia="黑体" w:cs="黑体"/>
          <w:color w:val="auto"/>
          <w:sz w:val="32"/>
          <w:szCs w:val="32"/>
        </w:rPr>
        <w:t>第六章  公示复议</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第二十二条 </w:t>
      </w:r>
      <w:r>
        <w:rPr>
          <w:rFonts w:hint="eastAsia" w:ascii="仿宋_GB2312" w:hAnsi="仿宋_GB2312" w:eastAsia="仿宋_GB2312" w:cs="仿宋_GB2312"/>
          <w:color w:val="auto"/>
          <w:sz w:val="32"/>
          <w:szCs w:val="32"/>
        </w:rPr>
        <w:t xml:space="preserve"> 市（州）民政局应当将年检结论在一定范围内予以公示。公示期不少于5个工作日。</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第二十三条 </w:t>
      </w:r>
      <w:r>
        <w:rPr>
          <w:rFonts w:hint="eastAsia" w:ascii="仿宋_GB2312" w:hAnsi="仿宋_GB2312" w:eastAsia="仿宋_GB2312" w:cs="仿宋_GB2312"/>
          <w:color w:val="auto"/>
          <w:sz w:val="32"/>
          <w:szCs w:val="32"/>
        </w:rPr>
        <w:t xml:space="preserve"> 经营性公墓对年检结论有异议的，可在公示期内书面申请复查。市（州）民政局应当自收到书面申请之日起10日内进行复查，及时将复查结果告知申请人。</w:t>
      </w:r>
    </w:p>
    <w:p>
      <w:pPr>
        <w:keepNext w:val="0"/>
        <w:keepLines w:val="0"/>
        <w:pageBreakBefore w:val="0"/>
        <w:widowControl w:val="0"/>
        <w:kinsoku/>
        <w:wordWrap/>
        <w:overflowPunct/>
        <w:topLinePunct w:val="0"/>
        <w:autoSpaceDE w:val="0"/>
        <w:autoSpaceDN w:val="0"/>
        <w:bidi w:val="0"/>
        <w:adjustRightInd w:val="0"/>
        <w:snapToGrid w:val="0"/>
        <w:spacing w:before="0" w:beforeLines="50" w:after="0" w:afterLines="50" w:line="580" w:lineRule="exact"/>
        <w:ind w:left="0" w:leftChars="0" w:right="0" w:rightChars="0" w:firstLine="0" w:firstLineChars="0"/>
        <w:jc w:val="center"/>
        <w:textAlignment w:val="baseline"/>
        <w:outlineLvl w:val="9"/>
        <w:rPr>
          <w:rFonts w:hint="eastAsia" w:ascii="黑体" w:hAnsi="黑体" w:eastAsia="黑体" w:cs="黑体"/>
          <w:color w:val="auto"/>
          <w:sz w:val="32"/>
          <w:szCs w:val="32"/>
        </w:rPr>
      </w:pPr>
      <w:r>
        <w:rPr>
          <w:rFonts w:hint="eastAsia" w:ascii="黑体" w:hAnsi="黑体" w:eastAsia="黑体" w:cs="黑体"/>
          <w:color w:val="auto"/>
          <w:sz w:val="32"/>
          <w:szCs w:val="32"/>
        </w:rPr>
        <w:t>第七章  结果运用</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第二十四条 </w:t>
      </w:r>
      <w:r>
        <w:rPr>
          <w:rFonts w:hint="eastAsia" w:ascii="仿宋_GB2312" w:hAnsi="仿宋_GB2312" w:eastAsia="仿宋_GB2312" w:cs="仿宋_GB2312"/>
          <w:color w:val="auto"/>
          <w:sz w:val="32"/>
          <w:szCs w:val="32"/>
        </w:rPr>
        <w:t xml:space="preserve"> 经营性公墓年检结论确定为合格、基本合格的，由市（州）民政局在经营性公墓证书上注明年检结论并加盖公章。首次参加年检的经营性公墓确定为合格、基本合格的，由市（州）民政局颁发经营性公墓证书。</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第二十五条 </w:t>
      </w:r>
      <w:r>
        <w:rPr>
          <w:rFonts w:hint="eastAsia" w:ascii="仿宋_GB2312" w:hAnsi="仿宋_GB2312" w:eastAsia="仿宋_GB2312" w:cs="仿宋_GB2312"/>
          <w:color w:val="auto"/>
          <w:sz w:val="32"/>
          <w:szCs w:val="32"/>
        </w:rPr>
        <w:t xml:space="preserve"> 经营性公墓年检结论确定为基本合格的，由市（州）民政局提出整改建议，明确整改要求，限期进行整改。</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第二十六条 </w:t>
      </w:r>
      <w:r>
        <w:rPr>
          <w:rFonts w:hint="eastAsia" w:ascii="仿宋_GB2312" w:hAnsi="仿宋_GB2312" w:eastAsia="仿宋_GB2312" w:cs="仿宋_GB2312"/>
          <w:color w:val="auto"/>
          <w:sz w:val="32"/>
          <w:szCs w:val="32"/>
        </w:rPr>
        <w:t xml:space="preserve"> 经营性公墓年检结论确定为不合格的暂缓签章，责令停止销售墓位并限期整改，完成整改后组织相关部门对整改结果进行复评。复评合格后在经营性公墓证书上注明年检结论并加盖公章。</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第二十七条</w:t>
      </w:r>
      <w:r>
        <w:rPr>
          <w:rFonts w:hint="eastAsia" w:ascii="仿宋_GB2312" w:hAnsi="仿宋_GB2312" w:eastAsia="仿宋_GB2312" w:cs="仿宋_GB2312"/>
          <w:color w:val="auto"/>
          <w:sz w:val="32"/>
          <w:szCs w:val="32"/>
        </w:rPr>
        <w:t xml:space="preserve">  对拒不整改或复评结果仍不符合年检要求的，民政部门联合自然资源、市场监督、林业</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rPr>
        <w:t>相关部门按规定作出处罚，将违规失信情况纳入企业经营异常名录或全国信用信息共享平台公布。涉嫌违法犯罪的，移交有关部门依法处理。</w:t>
      </w:r>
    </w:p>
    <w:p>
      <w:pPr>
        <w:keepNext w:val="0"/>
        <w:keepLines w:val="0"/>
        <w:pageBreakBefore w:val="0"/>
        <w:widowControl w:val="0"/>
        <w:kinsoku/>
        <w:wordWrap/>
        <w:overflowPunct/>
        <w:topLinePunct w:val="0"/>
        <w:autoSpaceDE w:val="0"/>
        <w:autoSpaceDN w:val="0"/>
        <w:bidi w:val="0"/>
        <w:adjustRightInd w:val="0"/>
        <w:snapToGrid w:val="0"/>
        <w:spacing w:before="0" w:beforeLines="50" w:after="0" w:afterLines="50" w:line="580" w:lineRule="exact"/>
        <w:ind w:left="0" w:leftChars="0" w:right="0" w:rightChars="0" w:firstLine="0" w:firstLineChars="0"/>
        <w:jc w:val="center"/>
        <w:textAlignment w:val="baseline"/>
        <w:outlineLvl w:val="9"/>
        <w:rPr>
          <w:rFonts w:hint="eastAsia" w:ascii="黑体" w:hAnsi="黑体" w:eastAsia="黑体" w:cs="黑体"/>
          <w:color w:val="auto"/>
          <w:sz w:val="32"/>
          <w:szCs w:val="32"/>
        </w:rPr>
      </w:pPr>
      <w:r>
        <w:rPr>
          <w:rFonts w:hint="eastAsia" w:ascii="黑体" w:hAnsi="黑体" w:eastAsia="黑体" w:cs="黑体"/>
          <w:color w:val="auto"/>
          <w:sz w:val="32"/>
          <w:szCs w:val="32"/>
        </w:rPr>
        <w:t>第八章  备案公告</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第二十八条</w:t>
      </w:r>
      <w:r>
        <w:rPr>
          <w:rFonts w:hint="eastAsia" w:ascii="仿宋_GB2312" w:hAnsi="仿宋_GB2312" w:eastAsia="仿宋_GB2312" w:cs="仿宋_GB2312"/>
          <w:color w:val="auto"/>
          <w:sz w:val="32"/>
          <w:szCs w:val="32"/>
        </w:rPr>
        <w:t xml:space="preserve">  市（州）民政局在年检工作结束后，应当将工作总结及年检结论于每年7月底前报省民政厅备案。</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第二十九条</w:t>
      </w:r>
      <w:r>
        <w:rPr>
          <w:rFonts w:hint="eastAsia" w:ascii="仿宋_GB2312" w:hAnsi="仿宋_GB2312" w:eastAsia="仿宋_GB2312" w:cs="仿宋_GB2312"/>
          <w:color w:val="auto"/>
          <w:sz w:val="32"/>
          <w:szCs w:val="32"/>
        </w:rPr>
        <w:t xml:space="preserve">  市（州）民政局应采取书面通报、宣传公告、媒体刊载等多种方式向社会公开经营性公墓年检情况。公开的内容至少包括经营性公墓的名称、地址、法定代表人、年检结论等。</w:t>
      </w:r>
    </w:p>
    <w:p>
      <w:pPr>
        <w:keepNext w:val="0"/>
        <w:keepLines w:val="0"/>
        <w:pageBreakBefore w:val="0"/>
        <w:widowControl w:val="0"/>
        <w:kinsoku/>
        <w:wordWrap/>
        <w:overflowPunct/>
        <w:topLinePunct w:val="0"/>
        <w:autoSpaceDE w:val="0"/>
        <w:autoSpaceDN w:val="0"/>
        <w:bidi w:val="0"/>
        <w:adjustRightInd w:val="0"/>
        <w:snapToGrid w:val="0"/>
        <w:spacing w:before="0" w:beforeLines="50" w:after="0" w:afterLines="50" w:line="580" w:lineRule="exact"/>
        <w:ind w:left="0" w:leftChars="0" w:right="0" w:rightChars="0" w:firstLine="0" w:firstLineChars="0"/>
        <w:jc w:val="center"/>
        <w:textAlignment w:val="baseline"/>
        <w:outlineLvl w:val="9"/>
        <w:rPr>
          <w:rFonts w:hint="eastAsia" w:ascii="黑体" w:hAnsi="黑体" w:eastAsia="黑体" w:cs="黑体"/>
          <w:color w:val="auto"/>
          <w:sz w:val="32"/>
          <w:szCs w:val="32"/>
        </w:rPr>
      </w:pPr>
      <w:r>
        <w:rPr>
          <w:rFonts w:hint="eastAsia" w:ascii="黑体" w:hAnsi="黑体" w:eastAsia="黑体" w:cs="黑体"/>
          <w:color w:val="auto"/>
          <w:sz w:val="32"/>
          <w:szCs w:val="32"/>
        </w:rPr>
        <w:t>第九章  监督检查</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第三十条 </w:t>
      </w:r>
      <w:r>
        <w:rPr>
          <w:rFonts w:hint="eastAsia" w:ascii="仿宋_GB2312" w:hAnsi="仿宋_GB2312" w:eastAsia="仿宋_GB2312" w:cs="仿宋_GB2312"/>
          <w:color w:val="auto"/>
          <w:sz w:val="32"/>
          <w:szCs w:val="32"/>
        </w:rPr>
        <w:t xml:space="preserve"> 各级民政部门应当坚持依法依规、实事求是、客观公正的原则，认真负责地做好年检工作。</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第三十一条</w:t>
      </w:r>
      <w:r>
        <w:rPr>
          <w:rFonts w:hint="eastAsia" w:ascii="仿宋_GB2312" w:hAnsi="仿宋_GB2312" w:eastAsia="仿宋_GB2312" w:cs="仿宋_GB2312"/>
          <w:color w:val="auto"/>
          <w:sz w:val="32"/>
          <w:szCs w:val="32"/>
        </w:rPr>
        <w:t xml:space="preserve">  各经营性公墓应如实报送相关材料，积极配合民政部门开展年检工作。</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第三十二条  </w:t>
      </w:r>
      <w:r>
        <w:rPr>
          <w:rFonts w:hint="eastAsia" w:ascii="仿宋_GB2312" w:hAnsi="仿宋_GB2312" w:eastAsia="仿宋_GB2312" w:cs="仿宋_GB2312"/>
          <w:color w:val="auto"/>
          <w:sz w:val="32"/>
          <w:szCs w:val="32"/>
        </w:rPr>
        <w:t>各部门相关人员在年检工作中，应当依法行政，不得滥用职权、徇私舞弊。</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第三十三条  </w:t>
      </w:r>
      <w:r>
        <w:rPr>
          <w:rFonts w:hint="eastAsia" w:ascii="仿宋_GB2312" w:hAnsi="仿宋_GB2312" w:eastAsia="仿宋_GB2312" w:cs="仿宋_GB2312"/>
          <w:color w:val="auto"/>
          <w:sz w:val="32"/>
          <w:szCs w:val="32"/>
        </w:rPr>
        <w:t>省民政厅将通过公开征集线索、实地督导、群众满意度调查、随机抽查等多种方式，加强对年检工作的监督。</w:t>
      </w:r>
    </w:p>
    <w:p>
      <w:pPr>
        <w:keepNext w:val="0"/>
        <w:keepLines w:val="0"/>
        <w:pageBreakBefore w:val="0"/>
        <w:widowControl w:val="0"/>
        <w:kinsoku/>
        <w:wordWrap/>
        <w:overflowPunct/>
        <w:topLinePunct w:val="0"/>
        <w:autoSpaceDE w:val="0"/>
        <w:autoSpaceDN w:val="0"/>
        <w:bidi w:val="0"/>
        <w:adjustRightInd w:val="0"/>
        <w:snapToGrid w:val="0"/>
        <w:spacing w:before="0" w:beforeLines="50" w:after="0" w:afterLines="50" w:line="580" w:lineRule="exact"/>
        <w:ind w:left="0" w:leftChars="0" w:right="0" w:rightChars="0" w:firstLine="0" w:firstLineChars="0"/>
        <w:jc w:val="center"/>
        <w:textAlignment w:val="baseline"/>
        <w:outlineLvl w:val="9"/>
        <w:rPr>
          <w:rFonts w:hint="eastAsia" w:ascii="黑体" w:hAnsi="黑体" w:eastAsia="黑体" w:cs="黑体"/>
          <w:color w:val="auto"/>
          <w:sz w:val="32"/>
          <w:szCs w:val="32"/>
        </w:rPr>
      </w:pPr>
      <w:r>
        <w:rPr>
          <w:rFonts w:hint="eastAsia" w:ascii="黑体" w:hAnsi="黑体" w:eastAsia="黑体" w:cs="黑体"/>
          <w:color w:val="auto"/>
          <w:sz w:val="32"/>
          <w:szCs w:val="32"/>
        </w:rPr>
        <w:t>第十章  附则</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 xml:space="preserve">第三十四条 </w:t>
      </w:r>
      <w:r>
        <w:rPr>
          <w:rFonts w:hint="eastAsia" w:ascii="仿宋_GB2312" w:hAnsi="仿宋_GB2312" w:eastAsia="仿宋_GB2312" w:cs="仿宋_GB2312"/>
          <w:color w:val="auto"/>
          <w:sz w:val="32"/>
          <w:szCs w:val="32"/>
        </w:rPr>
        <w:t xml:space="preserve"> 各市（州）民政局可结合本地实际，制定或细化年检工作实施办法或细则。</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b/>
          <w:bCs/>
          <w:color w:val="auto"/>
          <w:sz w:val="32"/>
          <w:szCs w:val="32"/>
        </w:rPr>
        <w:t xml:space="preserve">第三十五条  </w:t>
      </w:r>
      <w:r>
        <w:rPr>
          <w:rFonts w:hint="eastAsia" w:ascii="仿宋_GB2312" w:hAnsi="仿宋_GB2312" w:eastAsia="仿宋_GB2312" w:cs="仿宋_GB2312"/>
          <w:color w:val="auto"/>
          <w:sz w:val="32"/>
          <w:szCs w:val="32"/>
        </w:rPr>
        <w:t>各县（市、区）民政局要加强对本行政区域内</w:t>
      </w:r>
      <w:r>
        <w:rPr>
          <w:rFonts w:hint="eastAsia" w:ascii="仿宋_GB2312" w:hAnsi="仿宋_GB2312" w:eastAsia="仿宋_GB2312" w:cs="仿宋_GB2312"/>
          <w:color w:val="auto"/>
          <w:sz w:val="32"/>
          <w:szCs w:val="32"/>
          <w:lang w:eastAsia="zh-CN"/>
        </w:rPr>
        <w:t>城市公益性安葬设施、</w:t>
      </w:r>
      <w:r>
        <w:rPr>
          <w:rFonts w:hint="eastAsia" w:ascii="仿宋_GB2312" w:hAnsi="仿宋_GB2312" w:eastAsia="仿宋_GB2312" w:cs="仿宋_GB2312"/>
          <w:color w:val="auto"/>
          <w:sz w:val="32"/>
          <w:szCs w:val="32"/>
        </w:rPr>
        <w:t>农村公益性墓地的检查和监督管理，可参照开展</w:t>
      </w:r>
      <w:r>
        <w:rPr>
          <w:rFonts w:hint="eastAsia" w:ascii="仿宋_GB2312" w:hAnsi="仿宋_GB2312" w:eastAsia="仿宋_GB2312" w:cs="仿宋_GB2312"/>
          <w:color w:val="auto"/>
          <w:sz w:val="32"/>
          <w:szCs w:val="32"/>
          <w:lang w:eastAsia="zh-CN"/>
        </w:rPr>
        <w:t>城市公益性安葬设施、</w:t>
      </w:r>
      <w:r>
        <w:rPr>
          <w:rFonts w:hint="eastAsia" w:ascii="仿宋_GB2312" w:hAnsi="仿宋_GB2312" w:eastAsia="仿宋_GB2312" w:cs="仿宋_GB2312"/>
          <w:color w:val="auto"/>
          <w:sz w:val="32"/>
          <w:szCs w:val="32"/>
        </w:rPr>
        <w:t>农村公益性墓地年检工作。</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b/>
          <w:bCs/>
          <w:color w:val="auto"/>
          <w:sz w:val="32"/>
          <w:szCs w:val="32"/>
        </w:rPr>
        <w:t xml:space="preserve">第三十六条 </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lang w:eastAsia="zh-CN"/>
        </w:rPr>
        <w:t>土地性质含有划拨用地的城市安葬设施参照执行。</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第三十七条</w:t>
      </w:r>
      <w:r>
        <w:rPr>
          <w:rFonts w:hint="eastAsia" w:ascii="楷体_GB2312" w:hAnsi="楷体_GB2312" w:eastAsia="楷体_GB2312" w:cs="楷体_GB2312"/>
          <w:b/>
          <w:bCs/>
          <w:color w:val="auto"/>
          <w:sz w:val="32"/>
          <w:szCs w:val="32"/>
          <w:lang w:val="en-US" w:eastAsia="zh-CN"/>
        </w:rPr>
        <w:t xml:space="preserve">  </w:t>
      </w:r>
      <w:r>
        <w:rPr>
          <w:rFonts w:hint="eastAsia" w:ascii="仿宋_GB2312" w:hAnsi="仿宋_GB2312" w:eastAsia="仿宋_GB2312" w:cs="仿宋_GB2312"/>
          <w:color w:val="auto"/>
          <w:sz w:val="32"/>
          <w:szCs w:val="32"/>
        </w:rPr>
        <w:t>本办法自印发之日起施行，有效期</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5</w:t>
      </w:r>
      <w:r>
        <w:rPr>
          <w:rFonts w:hint="eastAsia" w:ascii="仿宋_GB2312" w:hAnsi="仿宋_GB2312" w:eastAsia="仿宋_GB2312" w:cs="仿宋_GB2312"/>
          <w:color w:val="auto"/>
          <w:sz w:val="32"/>
          <w:szCs w:val="32"/>
          <w:lang w:val="en-US" w:eastAsia="zh-CN"/>
        </w:rPr>
        <w:t xml:space="preserve"> 年</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2" w:firstLineChars="200"/>
        <w:jc w:val="left"/>
        <w:textAlignment w:val="baseline"/>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第三十</w:t>
      </w:r>
      <w:r>
        <w:rPr>
          <w:rFonts w:hint="eastAsia" w:ascii="楷体_GB2312" w:hAnsi="楷体_GB2312" w:eastAsia="楷体_GB2312" w:cs="楷体_GB2312"/>
          <w:b/>
          <w:bCs/>
          <w:color w:val="auto"/>
          <w:sz w:val="32"/>
          <w:szCs w:val="32"/>
          <w:lang w:eastAsia="zh-CN"/>
        </w:rPr>
        <w:t>八</w:t>
      </w:r>
      <w:r>
        <w:rPr>
          <w:rFonts w:hint="eastAsia" w:ascii="楷体_GB2312" w:hAnsi="楷体_GB2312" w:eastAsia="楷体_GB2312" w:cs="楷体_GB2312"/>
          <w:b/>
          <w:bCs/>
          <w:color w:val="auto"/>
          <w:sz w:val="32"/>
          <w:szCs w:val="32"/>
        </w:rPr>
        <w:t>条</w:t>
      </w:r>
      <w:r>
        <w:rPr>
          <w:rFonts w:hint="eastAsia" w:ascii="仿宋_GB2312" w:hAnsi="仿宋_GB2312" w:eastAsia="仿宋_GB2312" w:cs="仿宋_GB2312"/>
          <w:color w:val="auto"/>
          <w:sz w:val="32"/>
          <w:szCs w:val="32"/>
        </w:rPr>
        <w:t xml:space="preserve">  本办法由</w:t>
      </w:r>
      <w:r>
        <w:rPr>
          <w:rFonts w:hint="eastAsia" w:ascii="仿宋_GB2312" w:hAnsi="仿宋_GB2312" w:eastAsia="仿宋_GB2312" w:cs="仿宋_GB2312"/>
          <w:color w:val="auto"/>
          <w:sz w:val="32"/>
          <w:szCs w:val="32"/>
          <w:lang w:eastAsia="zh-CN"/>
        </w:rPr>
        <w:t>湖南</w:t>
      </w:r>
      <w:r>
        <w:rPr>
          <w:rFonts w:hint="eastAsia" w:ascii="仿宋_GB2312" w:hAnsi="仿宋_GB2312" w:eastAsia="仿宋_GB2312" w:cs="仿宋_GB2312"/>
          <w:color w:val="auto"/>
          <w:sz w:val="32"/>
          <w:szCs w:val="32"/>
        </w:rPr>
        <w:t>省民政厅负责解释。</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val="en-US" w:eastAsia="en-US"/>
        </w:rPr>
      </w:pP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val="en-US" w:eastAsia="en-US"/>
        </w:rPr>
        <w:t>附件：</w:t>
      </w:r>
      <w:r>
        <w:rPr>
          <w:rFonts w:hint="eastAsia" w:ascii="仿宋_GB2312" w:hAnsi="仿宋_GB2312" w:eastAsia="仿宋_GB2312" w:cs="仿宋_GB2312"/>
          <w:color w:val="auto"/>
          <w:sz w:val="32"/>
          <w:szCs w:val="32"/>
          <w:lang w:val="en-US" w:eastAsia="zh-CN"/>
        </w:rPr>
        <w:t>1.湖南省</w:t>
      </w:r>
      <w:r>
        <w:rPr>
          <w:rFonts w:hint="eastAsia" w:ascii="仿宋_GB2312" w:hAnsi="仿宋_GB2312" w:eastAsia="仿宋_GB2312" w:cs="仿宋_GB2312"/>
          <w:color w:val="auto"/>
          <w:sz w:val="32"/>
          <w:szCs w:val="32"/>
          <w:lang w:eastAsia="zh-CN"/>
        </w:rPr>
        <w:t>经营性公墓年度检查申报表</w:t>
      </w:r>
    </w:p>
    <w:p>
      <w:pPr>
        <w:keepNext w:val="0"/>
        <w:keepLines w:val="0"/>
        <w:pageBreakBefore w:val="0"/>
        <w:widowControl w:val="0"/>
        <w:kinsoku/>
        <w:wordWrap/>
        <w:overflowPunct/>
        <w:topLinePunct w:val="0"/>
        <w:autoSpaceDE w:val="0"/>
        <w:autoSpaceDN w:val="0"/>
        <w:bidi w:val="0"/>
        <w:adjustRightInd w:val="0"/>
        <w:snapToGrid w:val="0"/>
        <w:spacing w:line="580" w:lineRule="exact"/>
        <w:ind w:left="0" w:leftChars="0" w:right="0" w:rightChars="0" w:firstLine="640" w:firstLineChars="200"/>
        <w:jc w:val="left"/>
        <w:textAlignment w:val="baseline"/>
        <w:outlineLvl w:val="9"/>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2.湖南省经营性公墓</w:t>
      </w:r>
      <w:r>
        <w:rPr>
          <w:rFonts w:hint="eastAsia" w:ascii="仿宋_GB2312" w:hAnsi="仿宋_GB2312" w:eastAsia="仿宋_GB2312" w:cs="仿宋_GB2312"/>
          <w:color w:val="auto"/>
          <w:sz w:val="32"/>
          <w:szCs w:val="32"/>
          <w:lang w:eastAsia="zh-CN"/>
        </w:rPr>
        <w:t>年度检查</w:t>
      </w:r>
      <w:r>
        <w:rPr>
          <w:rFonts w:hint="eastAsia" w:ascii="仿宋_GB2312" w:hAnsi="仿宋_GB2312" w:eastAsia="仿宋_GB2312" w:cs="仿宋_GB2312"/>
          <w:color w:val="auto"/>
          <w:sz w:val="32"/>
          <w:szCs w:val="32"/>
          <w:lang w:val="en-US" w:eastAsia="zh-CN"/>
        </w:rPr>
        <w:t>评分标准表</w:t>
      </w:r>
    </w:p>
    <w:p>
      <w:pPr>
        <w:pStyle w:val="2"/>
        <w:rPr>
          <w:rFonts w:hint="eastAsia"/>
          <w:color w:val="auto"/>
          <w:lang w:val="en-US" w:eastAsia="en-US"/>
        </w:rPr>
      </w:pPr>
    </w:p>
    <w:p>
      <w:pPr>
        <w:pStyle w:val="2"/>
        <w:keepNext w:val="0"/>
        <w:keepLines w:val="0"/>
        <w:pageBreakBefore w:val="0"/>
        <w:widowControl w:val="0"/>
        <w:kinsoku/>
        <w:wordWrap w:val="0"/>
        <w:overflowPunct/>
        <w:topLinePunct/>
        <w:autoSpaceDE/>
        <w:autoSpaceDN/>
        <w:bidi w:val="0"/>
        <w:ind w:right="0" w:rightChars="0"/>
        <w:rPr>
          <w:color w:val="auto"/>
          <w:lang w:val="en-US" w:eastAsia="en-US"/>
        </w:rPr>
      </w:pPr>
    </w:p>
    <w:p>
      <w:pPr>
        <w:keepNext w:val="0"/>
        <w:keepLines w:val="0"/>
        <w:pageBreakBefore w:val="0"/>
        <w:widowControl w:val="0"/>
        <w:kinsoku/>
        <w:wordWrap w:val="0"/>
        <w:overflowPunct/>
        <w:topLinePunct/>
        <w:autoSpaceDE/>
        <w:autoSpaceDN/>
        <w:bidi w:val="0"/>
        <w:ind w:right="0" w:rightChars="0"/>
        <w:jc w:val="left"/>
        <w:rPr>
          <w:rFonts w:ascii="仿宋" w:hAnsi="仿宋" w:eastAsia="仿宋" w:cs="仿宋"/>
          <w:snapToGrid w:val="0"/>
          <w:color w:val="auto"/>
          <w:spacing w:val="6"/>
          <w:kern w:val="0"/>
          <w:sz w:val="31"/>
          <w:szCs w:val="31"/>
          <w:lang w:val="en-US" w:eastAsia="en-US" w:bidi="ar-SA"/>
        </w:rPr>
        <w:sectPr>
          <w:headerReference r:id="rId5" w:type="default"/>
          <w:footerReference r:id="rId6" w:type="default"/>
          <w:footerReference r:id="rId7" w:type="even"/>
          <w:pgSz w:w="11906" w:h="16838"/>
          <w:pgMar w:top="2154" w:right="1474" w:bottom="1361" w:left="1587" w:header="0" w:footer="1417" w:gutter="0"/>
          <w:pgNumType w:fmt="decimal"/>
          <w:cols w:space="0" w:num="1"/>
          <w:rtlGutter w:val="0"/>
          <w:docGrid w:linePitch="579" w:charSpace="0"/>
        </w:sectPr>
      </w:pPr>
    </w:p>
    <w:p>
      <w:pPr>
        <w:keepNext w:val="0"/>
        <w:keepLines w:val="0"/>
        <w:pageBreakBefore w:val="0"/>
        <w:widowControl w:val="0"/>
        <w:kinsoku/>
        <w:wordWrap w:val="0"/>
        <w:overflowPunct/>
        <w:topLinePunct/>
        <w:autoSpaceDE/>
        <w:autoSpaceDN/>
        <w:bidi w:val="0"/>
        <w:ind w:right="0" w:rightChars="0"/>
        <w:jc w:val="left"/>
        <w:rPr>
          <w:rFonts w:hint="eastAsia" w:ascii="黑体" w:hAnsi="黑体" w:eastAsia="黑体" w:cs="黑体"/>
          <w:color w:val="auto"/>
          <w:sz w:val="32"/>
          <w:szCs w:val="32"/>
          <w:lang w:val="en-US" w:eastAsia="zh-CN"/>
        </w:rPr>
      </w:pPr>
      <w:r>
        <w:rPr>
          <w:rFonts w:hint="eastAsia" w:ascii="黑体" w:hAnsi="黑体" w:eastAsia="黑体" w:cs="黑体"/>
          <w:snapToGrid w:val="0"/>
          <w:color w:val="auto"/>
          <w:spacing w:val="6"/>
          <w:kern w:val="0"/>
          <w:sz w:val="32"/>
          <w:szCs w:val="32"/>
          <w:lang w:val="en-US" w:eastAsia="en-US" w:bidi="ar-SA"/>
        </w:rPr>
        <w:t>附件</w:t>
      </w:r>
      <w:r>
        <w:rPr>
          <w:rFonts w:hint="eastAsia" w:ascii="黑体" w:hAnsi="黑体" w:eastAsia="黑体" w:cs="黑体"/>
          <w:snapToGrid w:val="0"/>
          <w:color w:val="auto"/>
          <w:spacing w:val="6"/>
          <w:kern w:val="0"/>
          <w:sz w:val="32"/>
          <w:szCs w:val="32"/>
          <w:lang w:val="en-US" w:eastAsia="zh-CN" w:bidi="ar-SA"/>
        </w:rPr>
        <w:t>1</w:t>
      </w:r>
    </w:p>
    <w:p>
      <w:pPr>
        <w:keepNext w:val="0"/>
        <w:keepLines w:val="0"/>
        <w:pageBreakBefore w:val="0"/>
        <w:widowControl w:val="0"/>
        <w:kinsoku/>
        <w:wordWrap w:val="0"/>
        <w:overflowPunct/>
        <w:topLinePunct/>
        <w:autoSpaceDE/>
        <w:autoSpaceDN/>
        <w:bidi w:val="0"/>
        <w:ind w:right="0" w:rightChars="0"/>
        <w:jc w:val="left"/>
        <w:rPr>
          <w:rFonts w:hint="eastAsia" w:ascii="黑体" w:hAnsi="黑体" w:eastAsia="黑体"/>
          <w:color w:val="auto"/>
        </w:rPr>
      </w:pPr>
    </w:p>
    <w:p>
      <w:pPr>
        <w:keepNext w:val="0"/>
        <w:keepLines w:val="0"/>
        <w:pageBreakBefore w:val="0"/>
        <w:widowControl w:val="0"/>
        <w:kinsoku/>
        <w:wordWrap w:val="0"/>
        <w:overflowPunct/>
        <w:topLinePunct/>
        <w:autoSpaceDE/>
        <w:autoSpaceDN/>
        <w:bidi w:val="0"/>
        <w:spacing w:line="720" w:lineRule="exact"/>
        <w:ind w:right="0" w:rightChars="0"/>
        <w:jc w:val="center"/>
        <w:rPr>
          <w:rFonts w:hint="eastAsia" w:ascii="方正小标宋简体" w:eastAsia="方正小标宋简体" w:cs="方正小标宋简体"/>
          <w:color w:val="auto"/>
          <w:sz w:val="52"/>
          <w:szCs w:val="52"/>
          <w:lang w:val="en-US" w:eastAsia="zh-CN"/>
        </w:rPr>
      </w:pPr>
    </w:p>
    <w:p>
      <w:pPr>
        <w:keepNext w:val="0"/>
        <w:keepLines w:val="0"/>
        <w:pageBreakBefore w:val="0"/>
        <w:widowControl w:val="0"/>
        <w:kinsoku/>
        <w:wordWrap w:val="0"/>
        <w:overflowPunct/>
        <w:topLinePunct/>
        <w:autoSpaceDE/>
        <w:autoSpaceDN/>
        <w:bidi w:val="0"/>
        <w:spacing w:line="720" w:lineRule="exact"/>
        <w:ind w:right="0" w:rightChars="0"/>
        <w:jc w:val="center"/>
        <w:rPr>
          <w:rFonts w:hint="eastAsia" w:ascii="方正小标宋简体" w:eastAsia="方正小标宋简体" w:cs="方正小标宋简体"/>
          <w:color w:val="auto"/>
          <w:sz w:val="52"/>
          <w:szCs w:val="52"/>
          <w:lang w:val="en-US" w:eastAsia="zh-CN"/>
        </w:rPr>
      </w:pPr>
    </w:p>
    <w:p>
      <w:pPr>
        <w:keepNext w:val="0"/>
        <w:keepLines w:val="0"/>
        <w:pageBreakBefore w:val="0"/>
        <w:widowControl w:val="0"/>
        <w:kinsoku/>
        <w:wordWrap w:val="0"/>
        <w:overflowPunct/>
        <w:topLinePunct/>
        <w:autoSpaceDE/>
        <w:autoSpaceDN/>
        <w:bidi w:val="0"/>
        <w:spacing w:line="720" w:lineRule="exact"/>
        <w:ind w:right="0" w:rightChars="0"/>
        <w:jc w:val="center"/>
        <w:rPr>
          <w:rFonts w:ascii="方正小标宋简体" w:eastAsia="方正小标宋简体"/>
          <w:color w:val="auto"/>
          <w:sz w:val="48"/>
          <w:szCs w:val="48"/>
        </w:rPr>
      </w:pPr>
      <w:r>
        <w:rPr>
          <w:rFonts w:hint="eastAsia" w:ascii="方正小标宋简体" w:eastAsia="方正小标宋简体" w:cs="方正小标宋简体"/>
          <w:color w:val="auto"/>
          <w:sz w:val="48"/>
          <w:szCs w:val="48"/>
          <w:lang w:val="en-US" w:eastAsia="zh-CN"/>
        </w:rPr>
        <w:t>湖南省</w:t>
      </w:r>
      <w:r>
        <w:rPr>
          <w:rFonts w:hint="eastAsia" w:ascii="方正小标宋简体" w:eastAsia="方正小标宋简体" w:cs="方正小标宋简体"/>
          <w:color w:val="auto"/>
          <w:sz w:val="48"/>
          <w:szCs w:val="48"/>
        </w:rPr>
        <w:t>经营性公墓</w:t>
      </w:r>
      <w:r>
        <w:rPr>
          <w:rFonts w:hint="eastAsia" w:ascii="方正小标宋简体" w:eastAsia="方正小标宋简体" w:cs="方正小标宋简体"/>
          <w:color w:val="auto"/>
          <w:sz w:val="48"/>
          <w:szCs w:val="48"/>
          <w:lang w:eastAsia="zh-CN"/>
        </w:rPr>
        <w:t>年度检查申报</w:t>
      </w:r>
      <w:r>
        <w:rPr>
          <w:rFonts w:hint="eastAsia" w:ascii="方正小标宋简体" w:eastAsia="方正小标宋简体" w:cs="方正小标宋简体"/>
          <w:color w:val="auto"/>
          <w:sz w:val="48"/>
          <w:szCs w:val="48"/>
        </w:rPr>
        <w:t>表</w:t>
      </w:r>
    </w:p>
    <w:p>
      <w:pPr>
        <w:keepNext w:val="0"/>
        <w:keepLines w:val="0"/>
        <w:pageBreakBefore w:val="0"/>
        <w:widowControl w:val="0"/>
        <w:kinsoku/>
        <w:wordWrap w:val="0"/>
        <w:overflowPunct/>
        <w:topLinePunct/>
        <w:autoSpaceDE/>
        <w:autoSpaceDN/>
        <w:bidi w:val="0"/>
        <w:spacing w:before="289" w:beforeLines="50" w:line="720" w:lineRule="exact"/>
        <w:ind w:right="0" w:rightChars="0"/>
        <w:jc w:val="center"/>
        <w:rPr>
          <w:rFonts w:hint="eastAsia" w:ascii="楷体_GB2312" w:hAnsi="宋体" w:eastAsia="楷体_GB2312"/>
          <w:color w:val="auto"/>
          <w:sz w:val="36"/>
          <w:szCs w:val="36"/>
        </w:rPr>
      </w:pPr>
      <w:r>
        <w:rPr>
          <w:rFonts w:hint="eastAsia" w:ascii="楷体_GB2312" w:hAnsi="宋体" w:eastAsia="楷体_GB2312" w:cs="方正小标宋简体"/>
          <w:color w:val="auto"/>
          <w:sz w:val="36"/>
          <w:szCs w:val="36"/>
        </w:rPr>
        <w:t>（      年度）</w:t>
      </w:r>
    </w:p>
    <w:p>
      <w:pPr>
        <w:keepNext w:val="0"/>
        <w:keepLines w:val="0"/>
        <w:pageBreakBefore w:val="0"/>
        <w:widowControl w:val="0"/>
        <w:kinsoku/>
        <w:wordWrap w:val="0"/>
        <w:overflowPunct/>
        <w:topLinePunct/>
        <w:autoSpaceDE/>
        <w:autoSpaceDN/>
        <w:bidi w:val="0"/>
        <w:spacing w:line="560" w:lineRule="exact"/>
        <w:ind w:right="0" w:rightChars="0"/>
        <w:jc w:val="center"/>
        <w:rPr>
          <w:rFonts w:ascii="方正小标宋简体" w:hAnsi="宋体" w:eastAsia="方正小标宋简体"/>
          <w:color w:val="auto"/>
          <w:sz w:val="40"/>
          <w:szCs w:val="40"/>
        </w:rPr>
      </w:pPr>
    </w:p>
    <w:p>
      <w:pPr>
        <w:keepNext w:val="0"/>
        <w:keepLines w:val="0"/>
        <w:pageBreakBefore w:val="0"/>
        <w:widowControl w:val="0"/>
        <w:kinsoku/>
        <w:wordWrap w:val="0"/>
        <w:overflowPunct/>
        <w:topLinePunct/>
        <w:autoSpaceDE/>
        <w:autoSpaceDN/>
        <w:bidi w:val="0"/>
        <w:spacing w:line="560" w:lineRule="exact"/>
        <w:ind w:right="0" w:rightChars="0"/>
        <w:jc w:val="center"/>
        <w:rPr>
          <w:rFonts w:ascii="方正小标宋简体" w:hAnsi="宋体" w:eastAsia="方正小标宋简体"/>
          <w:color w:val="auto"/>
          <w:sz w:val="40"/>
          <w:szCs w:val="40"/>
        </w:rPr>
      </w:pPr>
    </w:p>
    <w:p>
      <w:pPr>
        <w:keepNext w:val="0"/>
        <w:keepLines w:val="0"/>
        <w:pageBreakBefore w:val="0"/>
        <w:widowControl w:val="0"/>
        <w:kinsoku/>
        <w:wordWrap w:val="0"/>
        <w:overflowPunct/>
        <w:topLinePunct/>
        <w:autoSpaceDE/>
        <w:autoSpaceDN/>
        <w:bidi w:val="0"/>
        <w:spacing w:line="560" w:lineRule="exact"/>
        <w:ind w:right="0" w:rightChars="0"/>
        <w:jc w:val="center"/>
        <w:rPr>
          <w:rFonts w:ascii="方正小标宋简体" w:hAnsi="宋体" w:eastAsia="方正小标宋简体"/>
          <w:color w:val="auto"/>
          <w:sz w:val="40"/>
          <w:szCs w:val="40"/>
        </w:rPr>
      </w:pPr>
    </w:p>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方正小标宋简体" w:hAnsi="宋体" w:eastAsia="方正小标宋简体"/>
          <w:color w:val="auto"/>
          <w:sz w:val="40"/>
          <w:szCs w:val="40"/>
        </w:rPr>
      </w:pPr>
    </w:p>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方正小标宋简体" w:hAnsi="宋体" w:eastAsia="方正小标宋简体"/>
          <w:color w:val="auto"/>
          <w:sz w:val="40"/>
          <w:szCs w:val="40"/>
        </w:rPr>
      </w:pPr>
    </w:p>
    <w:p>
      <w:pPr>
        <w:keepNext w:val="0"/>
        <w:keepLines w:val="0"/>
        <w:pageBreakBefore w:val="0"/>
        <w:widowControl w:val="0"/>
        <w:kinsoku/>
        <w:wordWrap w:val="0"/>
        <w:overflowPunct/>
        <w:topLinePunct/>
        <w:autoSpaceDE/>
        <w:autoSpaceDN/>
        <w:bidi w:val="0"/>
        <w:spacing w:line="840" w:lineRule="exact"/>
        <w:ind w:right="0" w:rightChars="0" w:firstLine="1080" w:firstLineChars="300"/>
        <w:jc w:val="left"/>
        <w:rPr>
          <w:rFonts w:hint="default" w:ascii="仿宋_GB2312" w:hAnsi="宋体" w:eastAsia="仿宋_GB2312"/>
          <w:color w:val="auto"/>
          <w:sz w:val="36"/>
          <w:szCs w:val="36"/>
          <w:u w:val="single"/>
          <w:lang w:val="en-US" w:eastAsia="zh-CN"/>
        </w:rPr>
      </w:pPr>
      <w:r>
        <w:rPr>
          <w:rFonts w:hint="eastAsia" w:ascii="仿宋_GB2312" w:hAnsi="仿宋_GB2312" w:eastAsia="仿宋_GB2312" w:cs="仿宋_GB2312"/>
          <w:color w:val="auto"/>
          <w:sz w:val="36"/>
          <w:szCs w:val="36"/>
          <w:lang w:eastAsia="zh-CN"/>
        </w:rPr>
        <w:t>填表单位</w:t>
      </w:r>
      <w:r>
        <w:rPr>
          <w:rFonts w:hint="eastAsia" w:ascii="仿宋_GB2312" w:hAnsi="仿宋_GB2312" w:eastAsia="仿宋_GB2312" w:cs="仿宋_GB2312"/>
          <w:color w:val="auto"/>
          <w:sz w:val="36"/>
          <w:szCs w:val="36"/>
        </w:rPr>
        <w:t>：</w:t>
      </w:r>
      <w:r>
        <w:rPr>
          <w:rFonts w:hint="eastAsia" w:ascii="仿宋_GB2312" w:hAnsi="宋体" w:cs="仿宋_GB2312"/>
          <w:color w:val="auto"/>
          <w:sz w:val="36"/>
          <w:szCs w:val="36"/>
          <w:u w:val="single"/>
          <w:lang w:val="en-US" w:eastAsia="zh-CN"/>
        </w:rPr>
        <w:t xml:space="preserve">                         </w:t>
      </w:r>
    </w:p>
    <w:p>
      <w:pPr>
        <w:keepNext w:val="0"/>
        <w:keepLines w:val="0"/>
        <w:pageBreakBefore w:val="0"/>
        <w:widowControl w:val="0"/>
        <w:kinsoku/>
        <w:wordWrap w:val="0"/>
        <w:overflowPunct/>
        <w:topLinePunct/>
        <w:autoSpaceDE/>
        <w:autoSpaceDN/>
        <w:bidi w:val="0"/>
        <w:spacing w:line="840" w:lineRule="exact"/>
        <w:ind w:right="0" w:rightChars="0" w:firstLine="1080" w:firstLineChars="300"/>
        <w:jc w:val="left"/>
        <w:rPr>
          <w:rFonts w:ascii="仿宋_GB2312" w:hAnsi="宋体"/>
          <w:color w:val="auto"/>
          <w:sz w:val="36"/>
          <w:szCs w:val="36"/>
          <w:u w:val="single"/>
        </w:rPr>
      </w:pPr>
      <w:r>
        <w:rPr>
          <w:rFonts w:hint="eastAsia" w:ascii="仿宋_GB2312" w:hAnsi="仿宋_GB2312" w:eastAsia="仿宋_GB2312" w:cs="仿宋_GB2312"/>
          <w:color w:val="auto"/>
          <w:sz w:val="36"/>
          <w:szCs w:val="36"/>
        </w:rPr>
        <w:t>填表日期：</w:t>
      </w:r>
      <w:r>
        <w:rPr>
          <w:rFonts w:hint="eastAsia" w:ascii="仿宋_GB2312" w:hAnsi="宋体" w:cs="仿宋_GB2312"/>
          <w:color w:val="auto"/>
          <w:sz w:val="36"/>
          <w:szCs w:val="36"/>
          <w:u w:val="single"/>
          <w:lang w:val="en-US" w:eastAsia="zh-CN"/>
        </w:rPr>
        <w:t xml:space="preserve">                         </w:t>
      </w:r>
    </w:p>
    <w:p>
      <w:pPr>
        <w:keepNext w:val="0"/>
        <w:keepLines w:val="0"/>
        <w:pageBreakBefore w:val="0"/>
        <w:widowControl w:val="0"/>
        <w:kinsoku/>
        <w:wordWrap w:val="0"/>
        <w:overflowPunct/>
        <w:topLinePunct/>
        <w:autoSpaceDE/>
        <w:autoSpaceDN/>
        <w:bidi w:val="0"/>
        <w:spacing w:line="840" w:lineRule="exact"/>
        <w:ind w:right="0" w:rightChars="0"/>
        <w:jc w:val="left"/>
        <w:rPr>
          <w:rFonts w:ascii="仿宋_GB2312" w:hAnsi="宋体"/>
          <w:color w:val="auto"/>
          <w:sz w:val="36"/>
          <w:szCs w:val="36"/>
          <w:u w:val="single"/>
        </w:rPr>
      </w:pPr>
    </w:p>
    <w:p>
      <w:pPr>
        <w:keepNext w:val="0"/>
        <w:keepLines w:val="0"/>
        <w:pageBreakBefore w:val="0"/>
        <w:widowControl w:val="0"/>
        <w:kinsoku/>
        <w:wordWrap w:val="0"/>
        <w:overflowPunct/>
        <w:topLinePunct/>
        <w:autoSpaceDE/>
        <w:autoSpaceDN/>
        <w:bidi w:val="0"/>
        <w:spacing w:line="840" w:lineRule="exact"/>
        <w:ind w:right="0" w:rightChars="0"/>
        <w:jc w:val="center"/>
        <w:rPr>
          <w:rFonts w:hint="eastAsia" w:ascii="仿宋_GB2312" w:hAnsi="宋体" w:cs="仿宋_GB2312"/>
          <w:color w:val="auto"/>
          <w:sz w:val="34"/>
          <w:szCs w:val="34"/>
        </w:rPr>
      </w:pPr>
      <w:r>
        <w:rPr>
          <w:rFonts w:hint="eastAsia" w:ascii="黑体" w:hAnsi="黑体" w:eastAsia="黑体" w:cs="黑体"/>
          <w:color w:val="auto"/>
          <w:sz w:val="36"/>
          <w:szCs w:val="36"/>
          <w:lang w:val="en-US" w:eastAsia="zh-CN"/>
        </w:rPr>
        <w:t>湖南省民政厅监</w:t>
      </w:r>
      <w:r>
        <w:rPr>
          <w:rFonts w:hint="eastAsia" w:ascii="黑体" w:hAnsi="黑体" w:eastAsia="黑体" w:cs="黑体"/>
          <w:color w:val="auto"/>
          <w:sz w:val="36"/>
          <w:szCs w:val="36"/>
        </w:rPr>
        <w:t>制</w:t>
      </w:r>
    </w:p>
    <w:p>
      <w:pPr>
        <w:keepNext w:val="0"/>
        <w:keepLines w:val="0"/>
        <w:pageBreakBefore w:val="0"/>
        <w:widowControl w:val="0"/>
        <w:kinsoku/>
        <w:wordWrap w:val="0"/>
        <w:overflowPunct/>
        <w:topLinePunct/>
        <w:autoSpaceDE/>
        <w:autoSpaceDN/>
        <w:bidi w:val="0"/>
        <w:spacing w:line="840" w:lineRule="exact"/>
        <w:ind w:right="0" w:rightChars="0"/>
        <w:jc w:val="center"/>
        <w:rPr>
          <w:rFonts w:hint="eastAsia" w:ascii="仿宋_GB2312" w:hAnsi="宋体" w:cs="仿宋_GB2312"/>
          <w:color w:val="auto"/>
          <w:sz w:val="34"/>
          <w:szCs w:val="34"/>
        </w:rPr>
        <w:sectPr>
          <w:pgSz w:w="11906" w:h="16838"/>
          <w:pgMar w:top="2154" w:right="1474" w:bottom="1361" w:left="1587" w:header="0" w:footer="1417" w:gutter="0"/>
          <w:pgNumType w:fmt="decimal"/>
          <w:cols w:space="0" w:num="1"/>
          <w:rtlGutter w:val="0"/>
          <w:docGrid w:linePitch="579" w:charSpace="0"/>
        </w:sectPr>
      </w:pPr>
    </w:p>
    <w:p>
      <w:pPr>
        <w:pStyle w:val="2"/>
        <w:keepNext w:val="0"/>
        <w:keepLines w:val="0"/>
        <w:pageBreakBefore w:val="0"/>
        <w:widowControl w:val="0"/>
        <w:kinsoku/>
        <w:wordWrap w:val="0"/>
        <w:overflowPunct/>
        <w:topLinePunct/>
        <w:autoSpaceDE/>
        <w:autoSpaceDN/>
        <w:bidi w:val="0"/>
        <w:adjustRightInd/>
        <w:snapToGrid/>
        <w:spacing w:line="20" w:lineRule="exact"/>
        <w:ind w:right="0" w:rightChars="0"/>
        <w:textAlignment w:val="auto"/>
        <w:rPr>
          <w:rFonts w:hint="eastAsia"/>
          <w:color w:val="auto"/>
        </w:rPr>
      </w:pPr>
    </w:p>
    <w:tbl>
      <w:tblPr>
        <w:tblStyle w:val="5"/>
        <w:tblW w:w="92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55"/>
        <w:gridCol w:w="835"/>
        <w:gridCol w:w="2556"/>
        <w:gridCol w:w="313"/>
        <w:gridCol w:w="1519"/>
        <w:gridCol w:w="1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9248" w:type="dxa"/>
            <w:gridSpan w:val="6"/>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rPr>
            </w:pPr>
            <w:r>
              <w:rPr>
                <w:rFonts w:hint="eastAsia" w:ascii="黑体" w:eastAsia="黑体"/>
                <w:color w:val="auto"/>
                <w:sz w:val="28"/>
                <w:szCs w:val="28"/>
              </w:rPr>
              <w:t>基 本 情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2055" w:type="dxa"/>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公墓名称</w:t>
            </w:r>
          </w:p>
        </w:tc>
        <w:tc>
          <w:tcPr>
            <w:tcW w:w="7193" w:type="dxa"/>
            <w:gridSpan w:val="5"/>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2055" w:type="dxa"/>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公墓地址</w:t>
            </w:r>
          </w:p>
        </w:tc>
        <w:tc>
          <w:tcPr>
            <w:tcW w:w="7193" w:type="dxa"/>
            <w:gridSpan w:val="5"/>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b/>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2055" w:type="dxa"/>
            <w:vMerge w:val="restart"/>
            <w:vAlign w:val="center"/>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法定代表人信息</w:t>
            </w:r>
          </w:p>
        </w:tc>
        <w:tc>
          <w:tcPr>
            <w:tcW w:w="835" w:type="dxa"/>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r>
              <w:rPr>
                <w:rFonts w:hint="eastAsia" w:asciiTheme="majorEastAsia" w:hAnsiTheme="majorEastAsia" w:eastAsiaTheme="majorEastAsia" w:cstheme="majorEastAsia"/>
                <w:color w:val="auto"/>
                <w:spacing w:val="-20"/>
                <w:sz w:val="24"/>
                <w:szCs w:val="24"/>
                <w:lang w:eastAsia="zh-CN"/>
              </w:rPr>
              <w:t>姓名</w:t>
            </w:r>
          </w:p>
        </w:tc>
        <w:tc>
          <w:tcPr>
            <w:tcW w:w="2556" w:type="dxa"/>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p>
        </w:tc>
        <w:tc>
          <w:tcPr>
            <w:tcW w:w="1832" w:type="dxa"/>
            <w:gridSpan w:val="2"/>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r>
              <w:rPr>
                <w:rFonts w:hint="eastAsia" w:asciiTheme="majorEastAsia" w:hAnsiTheme="majorEastAsia" w:eastAsiaTheme="majorEastAsia" w:cstheme="majorEastAsia"/>
                <w:color w:val="auto"/>
                <w:spacing w:val="-20"/>
                <w:sz w:val="24"/>
                <w:szCs w:val="24"/>
                <w:lang w:eastAsia="zh-CN"/>
              </w:rPr>
              <w:t>联系电话</w:t>
            </w:r>
          </w:p>
        </w:tc>
        <w:tc>
          <w:tcPr>
            <w:tcW w:w="1970" w:type="dxa"/>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2055" w:type="dxa"/>
            <w:vMerge w:val="continue"/>
            <w:vAlign w:val="center"/>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eastAsia="zh-CN"/>
              </w:rPr>
            </w:pPr>
          </w:p>
        </w:tc>
        <w:tc>
          <w:tcPr>
            <w:tcW w:w="835" w:type="dxa"/>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r>
              <w:rPr>
                <w:rFonts w:hint="eastAsia" w:asciiTheme="majorEastAsia" w:hAnsiTheme="majorEastAsia" w:eastAsiaTheme="majorEastAsia" w:cstheme="majorEastAsia"/>
                <w:color w:val="auto"/>
                <w:spacing w:val="-20"/>
                <w:sz w:val="24"/>
                <w:szCs w:val="24"/>
                <w:lang w:eastAsia="zh-CN"/>
              </w:rPr>
              <w:t>身份证号码</w:t>
            </w:r>
          </w:p>
        </w:tc>
        <w:tc>
          <w:tcPr>
            <w:tcW w:w="6358" w:type="dxa"/>
            <w:gridSpan w:val="4"/>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2055" w:type="dxa"/>
            <w:vAlign w:val="center"/>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val="en-US" w:eastAsia="en-US"/>
              </w:rPr>
            </w:pPr>
            <w:r>
              <w:rPr>
                <w:rFonts w:hint="eastAsia" w:asciiTheme="majorEastAsia" w:hAnsiTheme="majorEastAsia" w:eastAsiaTheme="majorEastAsia" w:cstheme="majorEastAsia"/>
                <w:color w:val="auto"/>
                <w:sz w:val="24"/>
                <w:szCs w:val="24"/>
                <w:lang w:eastAsia="zh-CN"/>
              </w:rPr>
              <w:t>职工人数</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snapToGrid w:val="0"/>
                <w:color w:val="auto"/>
                <w:spacing w:val="-20"/>
                <w:kern w:val="0"/>
                <w:sz w:val="24"/>
                <w:szCs w:val="24"/>
                <w:lang w:val="en-US" w:eastAsia="zh-CN" w:bidi="ar-SA"/>
              </w:rPr>
            </w:pPr>
            <w:r>
              <w:rPr>
                <w:rFonts w:hint="eastAsia" w:asciiTheme="majorEastAsia" w:hAnsiTheme="majorEastAsia" w:eastAsiaTheme="majorEastAsia" w:cstheme="majorEastAsia"/>
                <w:color w:val="auto"/>
                <w:spacing w:val="-20"/>
                <w:sz w:val="24"/>
                <w:szCs w:val="24"/>
                <w:lang w:eastAsia="zh-CN"/>
              </w:rPr>
              <w:t>总共</w:t>
            </w:r>
            <w:r>
              <w:rPr>
                <w:rFonts w:hint="eastAsia" w:asciiTheme="majorEastAsia" w:hAnsiTheme="majorEastAsia" w:eastAsiaTheme="majorEastAsia" w:cstheme="majorEastAsia"/>
                <w:color w:val="auto"/>
                <w:spacing w:val="-20"/>
                <w:sz w:val="24"/>
                <w:szCs w:val="24"/>
                <w:u w:val="single"/>
                <w:lang w:val="en-US" w:eastAsia="zh-CN"/>
              </w:rPr>
              <w:t xml:space="preserve">         </w:t>
            </w:r>
            <w:r>
              <w:rPr>
                <w:rFonts w:hint="eastAsia" w:asciiTheme="majorEastAsia" w:hAnsiTheme="majorEastAsia" w:eastAsiaTheme="majorEastAsia" w:cstheme="majorEastAsia"/>
                <w:color w:val="auto"/>
                <w:spacing w:val="-20"/>
                <w:sz w:val="24"/>
                <w:szCs w:val="24"/>
                <w:lang w:val="en-US" w:eastAsia="zh-CN"/>
              </w:rPr>
              <w:t>人，其中编制内</w:t>
            </w:r>
            <w:r>
              <w:rPr>
                <w:rFonts w:hint="eastAsia" w:asciiTheme="majorEastAsia" w:hAnsiTheme="majorEastAsia" w:eastAsiaTheme="majorEastAsia" w:cstheme="majorEastAsia"/>
                <w:color w:val="auto"/>
                <w:spacing w:val="-20"/>
                <w:sz w:val="24"/>
                <w:szCs w:val="24"/>
                <w:u w:val="single"/>
                <w:lang w:val="en-US" w:eastAsia="zh-CN"/>
              </w:rPr>
              <w:t xml:space="preserve">        </w:t>
            </w:r>
            <w:r>
              <w:rPr>
                <w:rFonts w:hint="eastAsia" w:asciiTheme="majorEastAsia" w:hAnsiTheme="majorEastAsia" w:eastAsiaTheme="majorEastAsia" w:cstheme="majorEastAsia"/>
                <w:color w:val="auto"/>
                <w:spacing w:val="-20"/>
                <w:sz w:val="24"/>
                <w:szCs w:val="24"/>
                <w:lang w:val="en-US" w:eastAsia="zh-CN"/>
              </w:rPr>
              <w:t>人，长期聘用</w:t>
            </w:r>
            <w:r>
              <w:rPr>
                <w:rFonts w:hint="eastAsia" w:asciiTheme="majorEastAsia" w:hAnsiTheme="majorEastAsia" w:eastAsiaTheme="majorEastAsia" w:cstheme="majorEastAsia"/>
                <w:color w:val="auto"/>
                <w:spacing w:val="-20"/>
                <w:sz w:val="24"/>
                <w:szCs w:val="24"/>
                <w:u w:val="single"/>
                <w:lang w:val="en-US" w:eastAsia="zh-CN"/>
              </w:rPr>
              <w:t xml:space="preserve">       </w:t>
            </w:r>
            <w:r>
              <w:rPr>
                <w:rFonts w:hint="eastAsia" w:asciiTheme="majorEastAsia" w:hAnsiTheme="majorEastAsia" w:eastAsiaTheme="majorEastAsia" w:cstheme="majorEastAsia"/>
                <w:color w:val="auto"/>
                <w:spacing w:val="-20"/>
                <w:sz w:val="24"/>
                <w:szCs w:val="24"/>
                <w:lang w:val="en-US" w:eastAsia="zh-CN"/>
              </w:rPr>
              <w:t>人，外包</w:t>
            </w:r>
            <w:r>
              <w:rPr>
                <w:rFonts w:hint="eastAsia" w:asciiTheme="majorEastAsia" w:hAnsiTheme="majorEastAsia" w:eastAsiaTheme="majorEastAsia" w:cstheme="majorEastAsia"/>
                <w:color w:val="auto"/>
                <w:spacing w:val="-20"/>
                <w:sz w:val="24"/>
                <w:szCs w:val="24"/>
                <w:u w:val="single"/>
                <w:lang w:val="en-US" w:eastAsia="zh-CN"/>
              </w:rPr>
              <w:t xml:space="preserve">         </w:t>
            </w:r>
            <w:r>
              <w:rPr>
                <w:rFonts w:hint="eastAsia" w:asciiTheme="majorEastAsia" w:hAnsiTheme="majorEastAsia" w:eastAsiaTheme="majorEastAsia" w:cstheme="majorEastAsia"/>
                <w:color w:val="auto"/>
                <w:spacing w:val="-20"/>
                <w:sz w:val="24"/>
                <w:szCs w:val="24"/>
                <w:lang w:val="en-US" w:eastAsia="zh-CN"/>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2055" w:type="dxa"/>
            <w:vAlign w:val="center"/>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业务范围</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2055" w:type="dxa"/>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主办单位</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2055" w:type="dxa"/>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联办单位</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2055" w:type="dxa"/>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批准文号</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2055" w:type="dxa"/>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经营许可证号</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2055" w:type="dxa"/>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营业执照号</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atLeast"/>
          <w:jc w:val="center"/>
        </w:trPr>
        <w:tc>
          <w:tcPr>
            <w:tcW w:w="2055" w:type="dxa"/>
            <w:vAlign w:val="center"/>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公墓面积（㎡）</w:t>
            </w:r>
          </w:p>
        </w:tc>
        <w:tc>
          <w:tcPr>
            <w:tcW w:w="835" w:type="dxa"/>
            <w:vAlign w:val="center"/>
          </w:tcPr>
          <w:p>
            <w:pPr>
              <w:keepNext w:val="0"/>
              <w:keepLines w:val="0"/>
              <w:pageBreakBefore w:val="0"/>
              <w:widowControl w:val="0"/>
              <w:kinsoku/>
              <w:wordWrap w:val="0"/>
              <w:overflowPunct/>
              <w:topLinePunct/>
              <w:autoSpaceDE/>
              <w:autoSpaceDN/>
              <w:bidi w:val="0"/>
              <w:adjustRightInd/>
              <w:snapToGrid/>
              <w:spacing w:line="420" w:lineRule="exact"/>
              <w:ind w:right="0" w:rightChars="0"/>
              <w:jc w:val="center"/>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总面积</w:t>
            </w:r>
          </w:p>
        </w:tc>
        <w:tc>
          <w:tcPr>
            <w:tcW w:w="2869" w:type="dxa"/>
            <w:gridSpan w:val="2"/>
            <w:vAlign w:val="center"/>
          </w:tcPr>
          <w:p>
            <w:pPr>
              <w:keepNext w:val="0"/>
              <w:keepLines w:val="0"/>
              <w:pageBreakBefore w:val="0"/>
              <w:widowControl w:val="0"/>
              <w:kinsoku/>
              <w:wordWrap w:val="0"/>
              <w:overflowPunct/>
              <w:topLinePunct/>
              <w:autoSpaceDE/>
              <w:autoSpaceDN/>
              <w:bidi w:val="0"/>
              <w:adjustRightInd/>
              <w:snapToGrid/>
              <w:spacing w:line="420" w:lineRule="exact"/>
              <w:ind w:right="0" w:rightChars="0"/>
              <w:jc w:val="center"/>
              <w:textAlignment w:val="auto"/>
              <w:rPr>
                <w:rFonts w:hint="eastAsia" w:asciiTheme="majorEastAsia" w:hAnsiTheme="majorEastAsia" w:eastAsiaTheme="majorEastAsia" w:cstheme="majorEastAsia"/>
                <w:color w:val="auto"/>
                <w:sz w:val="24"/>
                <w:szCs w:val="24"/>
              </w:rPr>
            </w:pPr>
          </w:p>
        </w:tc>
        <w:tc>
          <w:tcPr>
            <w:tcW w:w="1519" w:type="dxa"/>
            <w:vAlign w:val="center"/>
          </w:tcPr>
          <w:p>
            <w:pPr>
              <w:keepNext w:val="0"/>
              <w:keepLines w:val="0"/>
              <w:pageBreakBefore w:val="0"/>
              <w:widowControl w:val="0"/>
              <w:kinsoku/>
              <w:wordWrap w:val="0"/>
              <w:overflowPunct/>
              <w:topLinePunct/>
              <w:autoSpaceDE/>
              <w:autoSpaceDN/>
              <w:bidi w:val="0"/>
              <w:adjustRightInd/>
              <w:snapToGrid/>
              <w:spacing w:line="420" w:lineRule="exact"/>
              <w:ind w:right="0" w:rightChars="0"/>
              <w:jc w:val="center"/>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墓区面积</w:t>
            </w:r>
          </w:p>
        </w:tc>
        <w:tc>
          <w:tcPr>
            <w:tcW w:w="1970" w:type="dxa"/>
            <w:vAlign w:val="center"/>
          </w:tcPr>
          <w:p>
            <w:pPr>
              <w:keepNext w:val="0"/>
              <w:keepLines w:val="0"/>
              <w:pageBreakBefore w:val="0"/>
              <w:widowControl w:val="0"/>
              <w:kinsoku/>
              <w:wordWrap w:val="0"/>
              <w:overflowPunct/>
              <w:topLinePunct/>
              <w:autoSpaceDE/>
              <w:autoSpaceDN/>
              <w:bidi w:val="0"/>
              <w:adjustRightInd/>
              <w:snapToGrid/>
              <w:spacing w:line="420" w:lineRule="exact"/>
              <w:ind w:right="0" w:rightChars="0"/>
              <w:jc w:val="center"/>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已获产权证的占地面积（㎡）</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pacing w:val="-20"/>
                <w:sz w:val="24"/>
                <w:szCs w:val="24"/>
              </w:rPr>
              <w:t>行政划拨</w:t>
            </w:r>
            <w:r>
              <w:rPr>
                <w:rFonts w:hint="eastAsia" w:asciiTheme="majorEastAsia" w:hAnsiTheme="majorEastAsia" w:eastAsiaTheme="majorEastAsia" w:cstheme="majorEastAsia"/>
                <w:color w:val="auto"/>
                <w:spacing w:val="-20"/>
                <w:sz w:val="24"/>
                <w:szCs w:val="24"/>
                <w:u w:val="single"/>
              </w:rPr>
              <w:t xml:space="preserve">  </w:t>
            </w:r>
            <w:r>
              <w:rPr>
                <w:rFonts w:hint="eastAsia" w:asciiTheme="majorEastAsia" w:hAnsiTheme="majorEastAsia" w:eastAsiaTheme="majorEastAsia" w:cstheme="majorEastAsia"/>
                <w:color w:val="auto"/>
                <w:spacing w:val="-20"/>
                <w:sz w:val="24"/>
                <w:szCs w:val="24"/>
                <w:u w:val="single"/>
                <w:lang w:val="en-US" w:eastAsia="zh-CN"/>
              </w:rPr>
              <w:t xml:space="preserve">           </w:t>
            </w:r>
            <w:r>
              <w:rPr>
                <w:rFonts w:hint="eastAsia" w:asciiTheme="majorEastAsia" w:hAnsiTheme="majorEastAsia" w:eastAsiaTheme="majorEastAsia" w:cstheme="majorEastAsia"/>
                <w:color w:val="auto"/>
                <w:spacing w:val="-20"/>
                <w:sz w:val="24"/>
                <w:szCs w:val="24"/>
                <w:u w:val="single"/>
              </w:rPr>
              <w:t xml:space="preserve"> </w:t>
            </w:r>
            <w:r>
              <w:rPr>
                <w:rFonts w:hint="eastAsia" w:asciiTheme="majorEastAsia" w:hAnsiTheme="majorEastAsia" w:eastAsiaTheme="majorEastAsia" w:cstheme="majorEastAsia"/>
                <w:color w:val="auto"/>
                <w:spacing w:val="-20"/>
                <w:sz w:val="24"/>
                <w:szCs w:val="24"/>
                <w:u w:val="single"/>
                <w:lang w:val="en-US" w:eastAsia="zh-CN"/>
              </w:rPr>
              <w:t xml:space="preserve"> </w:t>
            </w:r>
            <w:r>
              <w:rPr>
                <w:rFonts w:hint="eastAsia" w:asciiTheme="majorEastAsia" w:hAnsiTheme="majorEastAsia" w:eastAsiaTheme="majorEastAsia" w:cstheme="majorEastAsia"/>
                <w:color w:val="auto"/>
                <w:spacing w:val="-20"/>
                <w:sz w:val="24"/>
                <w:szCs w:val="24"/>
                <w:u w:val="single"/>
              </w:rPr>
              <w:t xml:space="preserve">   </w:t>
            </w:r>
            <w:r>
              <w:rPr>
                <w:rFonts w:hint="eastAsia" w:asciiTheme="majorEastAsia" w:hAnsiTheme="majorEastAsia" w:eastAsiaTheme="majorEastAsia" w:cstheme="majorEastAsia"/>
                <w:color w:val="auto"/>
                <w:spacing w:val="-20"/>
                <w:sz w:val="24"/>
                <w:szCs w:val="24"/>
                <w:lang w:eastAsia="zh-CN"/>
              </w:rPr>
              <w:t>平方米</w:t>
            </w:r>
            <w:r>
              <w:rPr>
                <w:rFonts w:hint="eastAsia" w:asciiTheme="majorEastAsia" w:hAnsiTheme="majorEastAsia" w:eastAsiaTheme="majorEastAsia" w:cstheme="majorEastAsia"/>
                <w:color w:val="auto"/>
                <w:spacing w:val="-20"/>
                <w:sz w:val="24"/>
                <w:szCs w:val="24"/>
              </w:rPr>
              <w:t>，</w:t>
            </w:r>
            <w:r>
              <w:rPr>
                <w:rFonts w:hint="eastAsia" w:asciiTheme="majorEastAsia" w:hAnsiTheme="majorEastAsia" w:eastAsiaTheme="majorEastAsia" w:cstheme="majorEastAsia"/>
                <w:color w:val="auto"/>
                <w:spacing w:val="-20"/>
                <w:sz w:val="24"/>
                <w:szCs w:val="24"/>
                <w:lang w:eastAsia="zh-CN"/>
              </w:rPr>
              <w:t>挂牌出让</w:t>
            </w:r>
            <w:r>
              <w:rPr>
                <w:rFonts w:hint="eastAsia" w:asciiTheme="majorEastAsia" w:hAnsiTheme="majorEastAsia" w:eastAsiaTheme="majorEastAsia" w:cstheme="majorEastAsia"/>
                <w:color w:val="auto"/>
                <w:spacing w:val="-20"/>
                <w:sz w:val="24"/>
                <w:szCs w:val="24"/>
                <w:u w:val="single"/>
              </w:rPr>
              <w:t xml:space="preserve">    </w:t>
            </w:r>
            <w:r>
              <w:rPr>
                <w:rFonts w:hint="eastAsia" w:asciiTheme="majorEastAsia" w:hAnsiTheme="majorEastAsia" w:eastAsiaTheme="majorEastAsia" w:cstheme="majorEastAsia"/>
                <w:color w:val="auto"/>
                <w:spacing w:val="-20"/>
                <w:sz w:val="24"/>
                <w:szCs w:val="24"/>
                <w:u w:val="single"/>
                <w:lang w:val="en-US" w:eastAsia="zh-CN"/>
              </w:rPr>
              <w:t xml:space="preserve">      </w:t>
            </w:r>
            <w:r>
              <w:rPr>
                <w:rFonts w:hint="eastAsia" w:asciiTheme="majorEastAsia" w:hAnsiTheme="majorEastAsia" w:eastAsiaTheme="majorEastAsia" w:cstheme="majorEastAsia"/>
                <w:color w:val="auto"/>
                <w:spacing w:val="-20"/>
                <w:sz w:val="24"/>
                <w:szCs w:val="24"/>
                <w:u w:val="single"/>
              </w:rPr>
              <w:t xml:space="preserve"> </w:t>
            </w:r>
            <w:r>
              <w:rPr>
                <w:rFonts w:hint="eastAsia" w:asciiTheme="majorEastAsia" w:hAnsiTheme="majorEastAsia" w:eastAsiaTheme="majorEastAsia" w:cstheme="majorEastAsia"/>
                <w:color w:val="auto"/>
                <w:spacing w:val="-20"/>
                <w:sz w:val="24"/>
                <w:szCs w:val="24"/>
                <w:u w:val="single"/>
                <w:lang w:val="en-US" w:eastAsia="zh-CN"/>
              </w:rPr>
              <w:t xml:space="preserve"> </w:t>
            </w:r>
            <w:r>
              <w:rPr>
                <w:rFonts w:hint="eastAsia" w:asciiTheme="majorEastAsia" w:hAnsiTheme="majorEastAsia" w:eastAsiaTheme="majorEastAsia" w:cstheme="majorEastAsia"/>
                <w:color w:val="auto"/>
                <w:spacing w:val="-20"/>
                <w:sz w:val="24"/>
                <w:szCs w:val="24"/>
                <w:u w:val="single"/>
              </w:rPr>
              <w:t xml:space="preserve">    </w:t>
            </w:r>
            <w:r>
              <w:rPr>
                <w:rFonts w:hint="eastAsia" w:asciiTheme="majorEastAsia" w:hAnsiTheme="majorEastAsia" w:eastAsiaTheme="majorEastAsia" w:cstheme="majorEastAsia"/>
                <w:color w:val="auto"/>
                <w:spacing w:val="-20"/>
                <w:sz w:val="24"/>
                <w:szCs w:val="24"/>
                <w:lang w:eastAsia="zh-CN"/>
              </w:rPr>
              <w:t>平方米</w:t>
            </w:r>
            <w:r>
              <w:rPr>
                <w:rFonts w:hint="eastAsia" w:asciiTheme="majorEastAsia" w:hAnsiTheme="majorEastAsia" w:eastAsiaTheme="majorEastAsia" w:cstheme="majorEastAsia"/>
                <w:color w:val="auto"/>
                <w:spacing w:val="-20"/>
                <w:sz w:val="24"/>
                <w:szCs w:val="24"/>
              </w:rPr>
              <w:t>，其它</w:t>
            </w:r>
            <w:r>
              <w:rPr>
                <w:rFonts w:hint="eastAsia" w:asciiTheme="majorEastAsia" w:hAnsiTheme="majorEastAsia" w:eastAsiaTheme="majorEastAsia" w:cstheme="majorEastAsia"/>
                <w:color w:val="auto"/>
                <w:spacing w:val="-20"/>
                <w:sz w:val="24"/>
                <w:szCs w:val="24"/>
                <w:u w:val="single"/>
              </w:rPr>
              <w:t xml:space="preserve">     </w:t>
            </w:r>
            <w:r>
              <w:rPr>
                <w:rFonts w:hint="eastAsia" w:asciiTheme="majorEastAsia" w:hAnsiTheme="majorEastAsia" w:eastAsiaTheme="majorEastAsia" w:cstheme="majorEastAsia"/>
                <w:color w:val="auto"/>
                <w:spacing w:val="-20"/>
                <w:sz w:val="24"/>
                <w:szCs w:val="24"/>
                <w:u w:val="single"/>
                <w:lang w:val="en-US" w:eastAsia="zh-CN"/>
              </w:rPr>
              <w:t xml:space="preserve">    </w:t>
            </w:r>
            <w:r>
              <w:rPr>
                <w:rFonts w:hint="eastAsia" w:asciiTheme="majorEastAsia" w:hAnsiTheme="majorEastAsia" w:eastAsiaTheme="majorEastAsia" w:cstheme="majorEastAsia"/>
                <w:color w:val="auto"/>
                <w:spacing w:val="-20"/>
                <w:sz w:val="24"/>
                <w:szCs w:val="24"/>
                <w:u w:val="single"/>
              </w:rPr>
              <w:t xml:space="preserve">   </w:t>
            </w:r>
            <w:r>
              <w:rPr>
                <w:rFonts w:hint="eastAsia" w:asciiTheme="majorEastAsia" w:hAnsiTheme="majorEastAsia" w:eastAsiaTheme="majorEastAsia" w:cstheme="majorEastAsia"/>
                <w:color w:val="auto"/>
                <w:spacing w:val="-20"/>
                <w:sz w:val="24"/>
                <w:szCs w:val="24"/>
                <w:u w:val="single"/>
                <w:lang w:val="en-US" w:eastAsia="zh-CN"/>
              </w:rPr>
              <w:t xml:space="preserve"> </w:t>
            </w:r>
            <w:r>
              <w:rPr>
                <w:rFonts w:hint="eastAsia" w:asciiTheme="majorEastAsia" w:hAnsiTheme="majorEastAsia" w:eastAsiaTheme="majorEastAsia" w:cstheme="majorEastAsia"/>
                <w:color w:val="auto"/>
                <w:spacing w:val="-20"/>
                <w:sz w:val="24"/>
                <w:szCs w:val="24"/>
                <w:lang w:eastAsia="zh-CN"/>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lang w:eastAsia="zh-CN"/>
              </w:rPr>
            </w:pPr>
            <w:r>
              <w:rPr>
                <w:rFonts w:hint="eastAsia" w:ascii="仿宋_GB2312" w:cs="仿宋_GB2312"/>
                <w:color w:val="auto"/>
                <w:sz w:val="28"/>
                <w:szCs w:val="28"/>
                <w:lang w:eastAsia="zh-CN"/>
              </w:rPr>
              <w:t>规划</w:t>
            </w:r>
            <w:r>
              <w:rPr>
                <w:rFonts w:hint="eastAsia" w:ascii="仿宋_GB2312" w:cs="仿宋_GB2312"/>
                <w:color w:val="auto"/>
                <w:sz w:val="28"/>
                <w:szCs w:val="28"/>
              </w:rPr>
              <w:t>墓穴数</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Theme="majorEastAsia" w:hAnsiTheme="majorEastAsia" w:eastAsiaTheme="majorEastAsia" w:cstheme="majorEastAsia"/>
                <w:color w:val="auto"/>
                <w:spacing w:val="-20"/>
                <w:sz w:val="24"/>
                <w:szCs w:val="24"/>
                <w:lang w:eastAsia="zh-CN"/>
              </w:rPr>
            </w:pPr>
            <w:r>
              <w:rPr>
                <w:rFonts w:hint="eastAsia"/>
                <w:color w:val="auto"/>
                <w:sz w:val="28"/>
                <w:szCs w:val="28"/>
                <w:lang w:eastAsia="zh-CN"/>
              </w:rPr>
              <w:t>已</w:t>
            </w:r>
            <w:r>
              <w:rPr>
                <w:color w:val="auto"/>
                <w:sz w:val="28"/>
                <w:szCs w:val="28"/>
              </w:rPr>
              <w:t>建成墓穴数</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color w:val="auto"/>
                <w:sz w:val="28"/>
                <w:szCs w:val="28"/>
              </w:rPr>
            </w:pPr>
            <w:r>
              <w:rPr>
                <w:rFonts w:hint="eastAsia"/>
                <w:color w:val="auto"/>
                <w:sz w:val="28"/>
                <w:szCs w:val="28"/>
                <w:lang w:eastAsia="zh-CN"/>
              </w:rPr>
              <w:t>已</w:t>
            </w:r>
            <w:r>
              <w:rPr>
                <w:color w:val="auto"/>
                <w:sz w:val="28"/>
                <w:szCs w:val="28"/>
              </w:rPr>
              <w:t>安葬墓穴数</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color w:val="auto"/>
                <w:sz w:val="28"/>
                <w:szCs w:val="28"/>
              </w:rPr>
            </w:pPr>
            <w:r>
              <w:rPr>
                <w:rFonts w:hint="eastAsia" w:ascii="仿宋_GB2312" w:cs="仿宋_GB2312"/>
                <w:color w:val="auto"/>
                <w:sz w:val="28"/>
                <w:szCs w:val="28"/>
                <w:lang w:eastAsia="zh-CN"/>
              </w:rPr>
              <w:t>规划</w:t>
            </w:r>
            <w:r>
              <w:rPr>
                <w:rFonts w:hint="eastAsia" w:ascii="仿宋_GB2312" w:cs="仿宋_GB2312"/>
                <w:color w:val="auto"/>
                <w:sz w:val="28"/>
                <w:szCs w:val="28"/>
              </w:rPr>
              <w:t>格位数</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color w:val="auto"/>
                <w:sz w:val="28"/>
                <w:szCs w:val="28"/>
              </w:rPr>
            </w:pPr>
            <w:r>
              <w:rPr>
                <w:rFonts w:hint="eastAsia"/>
                <w:color w:val="auto"/>
                <w:sz w:val="28"/>
                <w:szCs w:val="28"/>
                <w:lang w:eastAsia="zh-CN"/>
              </w:rPr>
              <w:t>已</w:t>
            </w:r>
            <w:r>
              <w:rPr>
                <w:color w:val="auto"/>
                <w:sz w:val="28"/>
                <w:szCs w:val="28"/>
              </w:rPr>
              <w:t>建成格位数</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color w:val="auto"/>
                <w:sz w:val="28"/>
                <w:szCs w:val="28"/>
              </w:rPr>
            </w:pPr>
            <w:r>
              <w:rPr>
                <w:rFonts w:hint="eastAsia"/>
                <w:color w:val="auto"/>
                <w:sz w:val="28"/>
                <w:szCs w:val="28"/>
                <w:lang w:eastAsia="zh-CN"/>
              </w:rPr>
              <w:t>已</w:t>
            </w:r>
            <w:r>
              <w:rPr>
                <w:color w:val="auto"/>
                <w:sz w:val="28"/>
                <w:szCs w:val="28"/>
              </w:rPr>
              <w:t>安</w:t>
            </w:r>
            <w:r>
              <w:rPr>
                <w:rFonts w:hint="eastAsia"/>
                <w:color w:val="auto"/>
                <w:sz w:val="28"/>
                <w:szCs w:val="28"/>
                <w:lang w:eastAsia="zh-CN"/>
              </w:rPr>
              <w:t>放</w:t>
            </w:r>
            <w:r>
              <w:rPr>
                <w:color w:val="auto"/>
                <w:sz w:val="28"/>
                <w:szCs w:val="28"/>
              </w:rPr>
              <w:t>存放数</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color w:val="auto"/>
                <w:sz w:val="28"/>
                <w:szCs w:val="28"/>
              </w:rPr>
            </w:pPr>
            <w:r>
              <w:rPr>
                <w:rFonts w:hint="eastAsia" w:ascii="仿宋_GB2312" w:cs="仿宋_GB2312"/>
                <w:color w:val="auto"/>
                <w:sz w:val="28"/>
                <w:szCs w:val="28"/>
              </w:rPr>
              <w:t>生态葬法墓区面积</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_GB2312" w:cs="仿宋_GB2312"/>
                <w:color w:val="auto"/>
                <w:sz w:val="28"/>
                <w:szCs w:val="28"/>
              </w:rPr>
            </w:pPr>
            <w:r>
              <w:rPr>
                <w:color w:val="auto"/>
                <w:spacing w:val="-20"/>
                <w:sz w:val="28"/>
                <w:szCs w:val="28"/>
              </w:rPr>
              <w:t>已开展生态</w:t>
            </w:r>
            <w:r>
              <w:rPr>
                <w:rFonts w:hint="eastAsia"/>
                <w:color w:val="auto"/>
                <w:spacing w:val="-20"/>
                <w:sz w:val="28"/>
                <w:szCs w:val="28"/>
                <w:lang w:eastAsia="zh-CN"/>
              </w:rPr>
              <w:t>安</w:t>
            </w:r>
            <w:r>
              <w:rPr>
                <w:color w:val="auto"/>
                <w:spacing w:val="-20"/>
                <w:sz w:val="28"/>
                <w:szCs w:val="28"/>
              </w:rPr>
              <w:t>葬累计数</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9248" w:type="dxa"/>
            <w:gridSpan w:val="6"/>
            <w:vAlign w:val="center"/>
          </w:tcPr>
          <w:p>
            <w:pPr>
              <w:keepNext w:val="0"/>
              <w:keepLines w:val="0"/>
              <w:pageBreakBefore w:val="0"/>
              <w:widowControl/>
              <w:wordWrap/>
              <w:overflowPunct/>
              <w:topLinePunct w:val="0"/>
              <w:bidi w:val="0"/>
              <w:spacing w:line="420" w:lineRule="exact"/>
              <w:jc w:val="center"/>
              <w:rPr>
                <w:rFonts w:hint="eastAsia" w:ascii="Arial" w:hAnsi="Arial" w:eastAsia="楷体_GB2312" w:cs="Arial"/>
                <w:b/>
                <w:bCs/>
                <w:snapToGrid w:val="0"/>
                <w:color w:val="auto"/>
                <w:kern w:val="0"/>
                <w:sz w:val="21"/>
                <w:szCs w:val="21"/>
                <w:lang w:val="en-US" w:eastAsia="en-US" w:bidi="ar-SA"/>
              </w:rPr>
            </w:pPr>
            <w:r>
              <w:rPr>
                <w:rFonts w:hint="eastAsia" w:ascii="黑体" w:eastAsia="黑体"/>
                <w:color w:val="auto"/>
                <w:sz w:val="28"/>
                <w:szCs w:val="28"/>
              </w:rPr>
              <w:t>年度销售及财务收支情况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color w:val="auto"/>
                <w:sz w:val="28"/>
                <w:szCs w:val="28"/>
              </w:rPr>
            </w:pPr>
            <w:r>
              <w:rPr>
                <w:rFonts w:hint="eastAsia"/>
                <w:color w:val="auto"/>
                <w:sz w:val="28"/>
                <w:szCs w:val="28"/>
                <w:lang w:eastAsia="zh-CN"/>
              </w:rPr>
              <w:t>全年</w:t>
            </w:r>
            <w:r>
              <w:rPr>
                <w:color w:val="auto"/>
                <w:sz w:val="28"/>
                <w:szCs w:val="28"/>
              </w:rPr>
              <w:t>销售</w:t>
            </w:r>
          </w:p>
          <w:p>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Arial" w:hAnsi="Arial" w:eastAsia="Arial" w:cs="Arial"/>
                <w:snapToGrid w:val="0"/>
                <w:color w:val="auto"/>
                <w:kern w:val="0"/>
                <w:sz w:val="28"/>
                <w:szCs w:val="28"/>
                <w:lang w:val="en-US" w:eastAsia="en-US" w:bidi="ar-SA"/>
              </w:rPr>
            </w:pPr>
            <w:r>
              <w:rPr>
                <w:color w:val="auto"/>
                <w:sz w:val="28"/>
                <w:szCs w:val="28"/>
              </w:rPr>
              <w:t>墓穴数量</w:t>
            </w:r>
          </w:p>
        </w:tc>
        <w:tc>
          <w:tcPr>
            <w:tcW w:w="7193" w:type="dxa"/>
            <w:gridSpan w:val="5"/>
            <w:vAlign w:val="center"/>
          </w:tcPr>
          <w:p>
            <w:pPr>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Arial" w:hAnsi="Arial" w:eastAsia="Arial" w:cs="Arial"/>
                <w:snapToGrid w:val="0"/>
                <w:color w:val="auto"/>
                <w:spacing w:val="-20"/>
                <w:kern w:val="0"/>
                <w:sz w:val="28"/>
                <w:szCs w:val="28"/>
                <w:lang w:val="en-US" w:eastAsia="en-US" w:bidi="ar-SA"/>
              </w:rPr>
            </w:pPr>
            <w:r>
              <w:rPr>
                <w:color w:val="auto"/>
                <w:sz w:val="28"/>
                <w:szCs w:val="28"/>
                <w:u w:val="single"/>
              </w:rPr>
              <w:t xml:space="preserve"> </w:t>
            </w:r>
            <w:r>
              <w:rPr>
                <w:rFonts w:hint="eastAsia"/>
                <w:color w:val="auto"/>
                <w:sz w:val="28"/>
                <w:szCs w:val="28"/>
                <w:u w:val="single"/>
                <w:lang w:val="en-US" w:eastAsia="zh-CN"/>
              </w:rPr>
              <w:t xml:space="preserve">    </w:t>
            </w:r>
            <w:r>
              <w:rPr>
                <w:color w:val="auto"/>
                <w:sz w:val="28"/>
                <w:szCs w:val="28"/>
                <w:u w:val="single"/>
              </w:rPr>
              <w:t xml:space="preserve"> </w:t>
            </w:r>
            <w:r>
              <w:rPr>
                <w:color w:val="auto"/>
                <w:spacing w:val="-20"/>
                <w:sz w:val="28"/>
                <w:szCs w:val="28"/>
              </w:rPr>
              <w:t>个（其中</w:t>
            </w:r>
            <w:r>
              <w:rPr>
                <w:rFonts w:hint="eastAsia"/>
                <w:color w:val="auto"/>
                <w:spacing w:val="-20"/>
                <w:sz w:val="28"/>
                <w:szCs w:val="28"/>
                <w:lang w:val="en-US" w:eastAsia="zh-CN"/>
              </w:rPr>
              <w:t>5</w:t>
            </w:r>
            <w:r>
              <w:rPr>
                <w:color w:val="auto"/>
                <w:spacing w:val="-20"/>
                <w:sz w:val="28"/>
                <w:szCs w:val="28"/>
              </w:rPr>
              <w:t>千元以下</w:t>
            </w:r>
            <w:r>
              <w:rPr>
                <w:color w:val="auto"/>
                <w:spacing w:val="-20"/>
                <w:sz w:val="28"/>
                <w:szCs w:val="28"/>
                <w:u w:val="single"/>
              </w:rPr>
              <w:t xml:space="preserve">   </w:t>
            </w:r>
            <w:r>
              <w:rPr>
                <w:rFonts w:hint="eastAsia"/>
                <w:color w:val="auto"/>
                <w:spacing w:val="-20"/>
                <w:sz w:val="28"/>
                <w:szCs w:val="28"/>
                <w:u w:val="single"/>
                <w:lang w:val="en-US" w:eastAsia="zh-CN"/>
              </w:rPr>
              <w:t xml:space="preserve">  </w:t>
            </w:r>
            <w:r>
              <w:rPr>
                <w:color w:val="auto"/>
                <w:spacing w:val="-20"/>
                <w:sz w:val="28"/>
                <w:szCs w:val="28"/>
                <w:u w:val="single"/>
              </w:rPr>
              <w:t xml:space="preserve"> </w:t>
            </w:r>
            <w:r>
              <w:rPr>
                <w:color w:val="auto"/>
                <w:spacing w:val="-20"/>
                <w:sz w:val="28"/>
                <w:szCs w:val="28"/>
              </w:rPr>
              <w:t>个，</w:t>
            </w:r>
            <w:r>
              <w:rPr>
                <w:rFonts w:hint="eastAsia"/>
                <w:color w:val="auto"/>
                <w:spacing w:val="-20"/>
                <w:sz w:val="28"/>
                <w:szCs w:val="28"/>
                <w:lang w:val="en-US" w:eastAsia="zh-CN"/>
              </w:rPr>
              <w:t>5</w:t>
            </w:r>
            <w:r>
              <w:rPr>
                <w:color w:val="auto"/>
                <w:spacing w:val="-20"/>
                <w:sz w:val="28"/>
                <w:szCs w:val="28"/>
              </w:rPr>
              <w:t>千元至1万元</w:t>
            </w:r>
            <w:r>
              <w:rPr>
                <w:color w:val="auto"/>
                <w:spacing w:val="-20"/>
                <w:sz w:val="28"/>
                <w:szCs w:val="28"/>
                <w:u w:val="single"/>
              </w:rPr>
              <w:t xml:space="preserve">  </w:t>
            </w:r>
            <w:r>
              <w:rPr>
                <w:rFonts w:hint="eastAsia"/>
                <w:color w:val="auto"/>
                <w:spacing w:val="-20"/>
                <w:sz w:val="28"/>
                <w:szCs w:val="28"/>
                <w:u w:val="single"/>
                <w:lang w:val="en-US" w:eastAsia="zh-CN"/>
              </w:rPr>
              <w:t xml:space="preserve">  </w:t>
            </w:r>
            <w:r>
              <w:rPr>
                <w:color w:val="auto"/>
                <w:spacing w:val="-20"/>
                <w:sz w:val="28"/>
                <w:szCs w:val="28"/>
                <w:u w:val="single"/>
              </w:rPr>
              <w:t xml:space="preserve">  </w:t>
            </w:r>
            <w:r>
              <w:rPr>
                <w:color w:val="auto"/>
                <w:spacing w:val="-20"/>
                <w:sz w:val="28"/>
                <w:szCs w:val="28"/>
              </w:rPr>
              <w:t>个，1万元至3万元</w:t>
            </w:r>
            <w:r>
              <w:rPr>
                <w:color w:val="auto"/>
                <w:spacing w:val="-20"/>
                <w:sz w:val="28"/>
                <w:szCs w:val="28"/>
                <w:u w:val="single"/>
              </w:rPr>
              <w:t xml:space="preserve"> </w:t>
            </w:r>
            <w:r>
              <w:rPr>
                <w:rFonts w:hint="eastAsia"/>
                <w:color w:val="auto"/>
                <w:spacing w:val="-20"/>
                <w:sz w:val="28"/>
                <w:szCs w:val="28"/>
                <w:u w:val="single"/>
                <w:lang w:val="en-US" w:eastAsia="zh-CN"/>
              </w:rPr>
              <w:t xml:space="preserve"> </w:t>
            </w:r>
            <w:r>
              <w:rPr>
                <w:color w:val="auto"/>
                <w:spacing w:val="-20"/>
                <w:sz w:val="28"/>
                <w:szCs w:val="28"/>
                <w:u w:val="single"/>
              </w:rPr>
              <w:t xml:space="preserve"> </w:t>
            </w:r>
            <w:r>
              <w:rPr>
                <w:rFonts w:hint="eastAsia"/>
                <w:color w:val="auto"/>
                <w:spacing w:val="-20"/>
                <w:sz w:val="28"/>
                <w:szCs w:val="28"/>
                <w:u w:val="single"/>
                <w:lang w:val="en-US" w:eastAsia="zh-CN"/>
              </w:rPr>
              <w:t xml:space="preserve"> </w:t>
            </w:r>
            <w:r>
              <w:rPr>
                <w:color w:val="auto"/>
                <w:spacing w:val="-20"/>
                <w:sz w:val="28"/>
                <w:szCs w:val="28"/>
                <w:u w:val="single"/>
              </w:rPr>
              <w:t xml:space="preserve">  </w:t>
            </w:r>
            <w:r>
              <w:rPr>
                <w:color w:val="auto"/>
                <w:spacing w:val="-20"/>
                <w:sz w:val="28"/>
                <w:szCs w:val="28"/>
              </w:rPr>
              <w:t>个，3万元至5万元</w:t>
            </w:r>
            <w:r>
              <w:rPr>
                <w:color w:val="auto"/>
                <w:spacing w:val="-20"/>
                <w:sz w:val="28"/>
                <w:szCs w:val="28"/>
                <w:u w:val="single"/>
              </w:rPr>
              <w:t xml:space="preserve">  </w:t>
            </w:r>
            <w:r>
              <w:rPr>
                <w:rFonts w:hint="eastAsia"/>
                <w:color w:val="auto"/>
                <w:spacing w:val="-20"/>
                <w:sz w:val="28"/>
                <w:szCs w:val="28"/>
                <w:u w:val="single"/>
                <w:lang w:val="en-US" w:eastAsia="zh-CN"/>
              </w:rPr>
              <w:t xml:space="preserve"> </w:t>
            </w:r>
            <w:r>
              <w:rPr>
                <w:color w:val="auto"/>
                <w:spacing w:val="-20"/>
                <w:sz w:val="28"/>
                <w:szCs w:val="28"/>
                <w:u w:val="single"/>
              </w:rPr>
              <w:t xml:space="preserve"> </w:t>
            </w:r>
            <w:r>
              <w:rPr>
                <w:rFonts w:hint="eastAsia"/>
                <w:color w:val="auto"/>
                <w:spacing w:val="-20"/>
                <w:sz w:val="28"/>
                <w:szCs w:val="28"/>
                <w:u w:val="single"/>
                <w:lang w:val="en-US" w:eastAsia="zh-CN"/>
              </w:rPr>
              <w:t xml:space="preserve"> </w:t>
            </w:r>
            <w:r>
              <w:rPr>
                <w:color w:val="auto"/>
                <w:spacing w:val="-20"/>
                <w:sz w:val="28"/>
                <w:szCs w:val="28"/>
                <w:u w:val="single"/>
              </w:rPr>
              <w:t xml:space="preserve"> </w:t>
            </w:r>
            <w:r>
              <w:rPr>
                <w:color w:val="auto"/>
                <w:spacing w:val="-20"/>
                <w:sz w:val="28"/>
                <w:szCs w:val="28"/>
              </w:rPr>
              <w:t>个，</w:t>
            </w:r>
            <w:r>
              <w:rPr>
                <w:rFonts w:hint="eastAsia"/>
                <w:color w:val="auto"/>
                <w:spacing w:val="-20"/>
                <w:sz w:val="28"/>
                <w:szCs w:val="28"/>
                <w:lang w:val="en-US" w:eastAsia="zh-CN"/>
              </w:rPr>
              <w:t>5</w:t>
            </w:r>
            <w:r>
              <w:rPr>
                <w:color w:val="auto"/>
                <w:spacing w:val="-20"/>
                <w:sz w:val="28"/>
                <w:szCs w:val="28"/>
              </w:rPr>
              <w:t>万元至</w:t>
            </w:r>
            <w:r>
              <w:rPr>
                <w:rFonts w:hint="eastAsia"/>
                <w:color w:val="auto"/>
                <w:spacing w:val="-20"/>
                <w:sz w:val="28"/>
                <w:szCs w:val="28"/>
                <w:lang w:val="en-US" w:eastAsia="zh-CN"/>
              </w:rPr>
              <w:t>10</w:t>
            </w:r>
            <w:r>
              <w:rPr>
                <w:color w:val="auto"/>
                <w:spacing w:val="-20"/>
                <w:sz w:val="28"/>
                <w:szCs w:val="28"/>
              </w:rPr>
              <w:t>万元</w:t>
            </w:r>
            <w:r>
              <w:rPr>
                <w:color w:val="auto"/>
                <w:spacing w:val="-20"/>
                <w:sz w:val="28"/>
                <w:szCs w:val="28"/>
                <w:u w:val="single"/>
              </w:rPr>
              <w:t xml:space="preserve"> </w:t>
            </w:r>
            <w:r>
              <w:rPr>
                <w:rFonts w:hint="eastAsia"/>
                <w:color w:val="auto"/>
                <w:spacing w:val="-20"/>
                <w:sz w:val="28"/>
                <w:szCs w:val="28"/>
                <w:u w:val="single"/>
                <w:lang w:val="en-US" w:eastAsia="zh-CN"/>
              </w:rPr>
              <w:t xml:space="preserve">  </w:t>
            </w:r>
            <w:r>
              <w:rPr>
                <w:color w:val="auto"/>
                <w:spacing w:val="-20"/>
                <w:sz w:val="28"/>
                <w:szCs w:val="28"/>
                <w:u w:val="single"/>
              </w:rPr>
              <w:t xml:space="preserve">  </w:t>
            </w:r>
            <w:r>
              <w:rPr>
                <w:color w:val="auto"/>
                <w:spacing w:val="-20"/>
                <w:sz w:val="28"/>
                <w:szCs w:val="28"/>
              </w:rPr>
              <w:t>个，</w:t>
            </w:r>
            <w:r>
              <w:rPr>
                <w:rFonts w:hint="eastAsia"/>
                <w:color w:val="auto"/>
                <w:spacing w:val="-20"/>
                <w:sz w:val="28"/>
                <w:szCs w:val="28"/>
                <w:lang w:val="en-US" w:eastAsia="zh-CN"/>
              </w:rPr>
              <w:t>10</w:t>
            </w:r>
            <w:r>
              <w:rPr>
                <w:color w:val="auto"/>
                <w:spacing w:val="-20"/>
                <w:sz w:val="28"/>
                <w:szCs w:val="28"/>
              </w:rPr>
              <w:t>万元以上</w:t>
            </w:r>
            <w:r>
              <w:rPr>
                <w:color w:val="auto"/>
                <w:spacing w:val="-20"/>
                <w:sz w:val="28"/>
                <w:szCs w:val="28"/>
                <w:u w:val="single"/>
              </w:rPr>
              <w:t xml:space="preserve">   </w:t>
            </w:r>
            <w:r>
              <w:rPr>
                <w:rFonts w:hint="eastAsia"/>
                <w:color w:val="auto"/>
                <w:spacing w:val="-20"/>
                <w:sz w:val="28"/>
                <w:szCs w:val="28"/>
                <w:u w:val="single"/>
                <w:lang w:val="en-US" w:eastAsia="zh-CN"/>
              </w:rPr>
              <w:t xml:space="preserve">  </w:t>
            </w:r>
            <w:r>
              <w:rPr>
                <w:color w:val="auto"/>
                <w:spacing w:val="-20"/>
                <w:sz w:val="28"/>
                <w:szCs w:val="28"/>
                <w:u w:val="single"/>
              </w:rPr>
              <w:t xml:space="preserve"> </w:t>
            </w:r>
            <w:r>
              <w:rPr>
                <w:color w:val="auto"/>
                <w:spacing w:val="-20"/>
                <w:sz w:val="28"/>
                <w:szCs w:val="2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color w:val="auto"/>
                <w:sz w:val="28"/>
                <w:szCs w:val="28"/>
              </w:rPr>
            </w:pPr>
            <w:r>
              <w:rPr>
                <w:rFonts w:hint="eastAsia"/>
                <w:color w:val="auto"/>
                <w:sz w:val="28"/>
                <w:szCs w:val="28"/>
                <w:lang w:eastAsia="zh-CN"/>
              </w:rPr>
              <w:t>全年</w:t>
            </w:r>
            <w:r>
              <w:rPr>
                <w:color w:val="auto"/>
                <w:sz w:val="28"/>
                <w:szCs w:val="28"/>
              </w:rPr>
              <w:t>销售</w:t>
            </w:r>
          </w:p>
          <w:p>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Arial" w:hAnsi="Arial" w:eastAsia="Arial" w:cs="Arial"/>
                <w:snapToGrid w:val="0"/>
                <w:color w:val="auto"/>
                <w:kern w:val="0"/>
                <w:sz w:val="28"/>
                <w:szCs w:val="28"/>
                <w:lang w:val="en-US" w:eastAsia="en-US" w:bidi="ar-SA"/>
              </w:rPr>
            </w:pPr>
            <w:r>
              <w:rPr>
                <w:color w:val="auto"/>
                <w:sz w:val="28"/>
                <w:szCs w:val="28"/>
              </w:rPr>
              <w:t>格位数量</w:t>
            </w:r>
          </w:p>
        </w:tc>
        <w:tc>
          <w:tcPr>
            <w:tcW w:w="7193" w:type="dxa"/>
            <w:gridSpan w:val="5"/>
            <w:vAlign w:val="center"/>
          </w:tcPr>
          <w:p>
            <w:pPr>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Arial" w:hAnsi="Arial" w:eastAsia="Arial" w:cs="Arial"/>
                <w:snapToGrid w:val="0"/>
                <w:color w:val="auto"/>
                <w:spacing w:val="-20"/>
                <w:kern w:val="0"/>
                <w:sz w:val="28"/>
                <w:szCs w:val="28"/>
                <w:lang w:val="en-US" w:eastAsia="en-US" w:bidi="ar-SA"/>
              </w:rPr>
            </w:pPr>
            <w:r>
              <w:rPr>
                <w:color w:val="auto"/>
                <w:sz w:val="28"/>
                <w:szCs w:val="28"/>
                <w:u w:val="single"/>
              </w:rPr>
              <w:t xml:space="preserve">  </w:t>
            </w:r>
            <w:r>
              <w:rPr>
                <w:rFonts w:hint="eastAsia"/>
                <w:color w:val="auto"/>
                <w:sz w:val="28"/>
                <w:szCs w:val="28"/>
                <w:u w:val="single"/>
                <w:lang w:val="en-US" w:eastAsia="zh-CN"/>
              </w:rPr>
              <w:t xml:space="preserve">   </w:t>
            </w:r>
            <w:r>
              <w:rPr>
                <w:color w:val="auto"/>
                <w:spacing w:val="-20"/>
                <w:sz w:val="28"/>
                <w:szCs w:val="28"/>
              </w:rPr>
              <w:t>个（其中</w:t>
            </w:r>
            <w:r>
              <w:rPr>
                <w:rFonts w:hint="eastAsia"/>
                <w:color w:val="auto"/>
                <w:spacing w:val="-20"/>
                <w:sz w:val="28"/>
                <w:szCs w:val="28"/>
                <w:lang w:val="en-US" w:eastAsia="zh-CN"/>
              </w:rPr>
              <w:t>5</w:t>
            </w:r>
            <w:r>
              <w:rPr>
                <w:color w:val="auto"/>
                <w:spacing w:val="-20"/>
                <w:sz w:val="28"/>
                <w:szCs w:val="28"/>
              </w:rPr>
              <w:t>千元以下</w:t>
            </w:r>
            <w:r>
              <w:rPr>
                <w:color w:val="auto"/>
                <w:spacing w:val="-20"/>
                <w:sz w:val="28"/>
                <w:szCs w:val="28"/>
                <w:u w:val="single"/>
              </w:rPr>
              <w:t xml:space="preserve">    </w:t>
            </w:r>
            <w:r>
              <w:rPr>
                <w:color w:val="auto"/>
                <w:spacing w:val="-20"/>
                <w:sz w:val="28"/>
                <w:szCs w:val="28"/>
              </w:rPr>
              <w:t>个，</w:t>
            </w:r>
            <w:r>
              <w:rPr>
                <w:rFonts w:hint="eastAsia"/>
                <w:color w:val="auto"/>
                <w:spacing w:val="-20"/>
                <w:sz w:val="28"/>
                <w:szCs w:val="28"/>
                <w:lang w:val="en-US" w:eastAsia="zh-CN"/>
              </w:rPr>
              <w:t>5</w:t>
            </w:r>
            <w:r>
              <w:rPr>
                <w:color w:val="auto"/>
                <w:spacing w:val="-20"/>
                <w:sz w:val="28"/>
                <w:szCs w:val="28"/>
              </w:rPr>
              <w:t xml:space="preserve">千元以上 </w:t>
            </w:r>
            <w:r>
              <w:rPr>
                <w:color w:val="auto"/>
                <w:spacing w:val="-20"/>
                <w:sz w:val="28"/>
                <w:szCs w:val="28"/>
                <w:u w:val="single"/>
              </w:rPr>
              <w:t xml:space="preserve">    </w:t>
            </w:r>
            <w:r>
              <w:rPr>
                <w:color w:val="auto"/>
                <w:spacing w:val="-20"/>
                <w:sz w:val="28"/>
                <w:szCs w:val="2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_GB2312" w:hAnsi="Arial" w:eastAsia="Arial" w:cs="Arial"/>
                <w:snapToGrid w:val="0"/>
                <w:color w:val="auto"/>
                <w:kern w:val="0"/>
                <w:sz w:val="28"/>
                <w:szCs w:val="28"/>
                <w:lang w:val="en-US" w:eastAsia="en-US" w:bidi="ar-SA"/>
              </w:rPr>
            </w:pPr>
            <w:r>
              <w:rPr>
                <w:rFonts w:hint="eastAsia" w:ascii="仿宋_GB2312" w:cs="仿宋_GB2312"/>
                <w:color w:val="auto"/>
                <w:sz w:val="28"/>
                <w:szCs w:val="28"/>
              </w:rPr>
              <w:t>收入</w:t>
            </w:r>
          </w:p>
        </w:tc>
        <w:tc>
          <w:tcPr>
            <w:tcW w:w="7193" w:type="dxa"/>
            <w:gridSpan w:val="5"/>
            <w:vAlign w:val="center"/>
          </w:tcPr>
          <w:p>
            <w:pPr>
              <w:keepNext w:val="0"/>
              <w:keepLines w:val="0"/>
              <w:pageBreakBefore w:val="0"/>
              <w:widowControl/>
              <w:kinsoku/>
              <w:wordWrap/>
              <w:overflowPunct/>
              <w:topLinePunct w:val="0"/>
              <w:autoSpaceDE/>
              <w:autoSpaceDN/>
              <w:bidi w:val="0"/>
              <w:adjustRightInd/>
              <w:snapToGrid/>
              <w:spacing w:line="420" w:lineRule="exact"/>
              <w:jc w:val="both"/>
              <w:textAlignment w:val="auto"/>
              <w:rPr>
                <w:color w:val="auto"/>
                <w:sz w:val="28"/>
                <w:szCs w:val="28"/>
              </w:rPr>
            </w:pPr>
            <w:r>
              <w:rPr>
                <w:color w:val="auto"/>
                <w:sz w:val="28"/>
                <w:szCs w:val="28"/>
                <w:u w:val="single"/>
              </w:rPr>
              <w:t xml:space="preserve">  </w:t>
            </w:r>
            <w:r>
              <w:rPr>
                <w:rFonts w:hint="eastAsia" w:eastAsia="宋体"/>
                <w:color w:val="auto"/>
                <w:sz w:val="28"/>
                <w:szCs w:val="28"/>
                <w:u w:val="single"/>
                <w:lang w:val="en-US" w:eastAsia="zh-CN"/>
              </w:rPr>
              <w:t xml:space="preserve">   </w:t>
            </w:r>
            <w:r>
              <w:rPr>
                <w:color w:val="auto"/>
                <w:sz w:val="28"/>
                <w:szCs w:val="28"/>
                <w:u w:val="single"/>
              </w:rPr>
              <w:t xml:space="preserve"> </w:t>
            </w:r>
            <w:r>
              <w:rPr>
                <w:color w:val="auto"/>
                <w:sz w:val="28"/>
                <w:szCs w:val="28"/>
              </w:rPr>
              <w:t>万元（其中墓穴、格位销售收入</w:t>
            </w:r>
            <w:r>
              <w:rPr>
                <w:color w:val="auto"/>
                <w:sz w:val="28"/>
                <w:szCs w:val="28"/>
                <w:u w:val="single"/>
              </w:rPr>
              <w:t xml:space="preserve">   </w:t>
            </w:r>
            <w:r>
              <w:rPr>
                <w:color w:val="auto"/>
                <w:sz w:val="28"/>
                <w:szCs w:val="28"/>
              </w:rPr>
              <w:t>万元，丧葬用品销售收入</w:t>
            </w:r>
            <w:r>
              <w:rPr>
                <w:color w:val="auto"/>
                <w:sz w:val="28"/>
                <w:szCs w:val="28"/>
                <w:u w:val="single"/>
              </w:rPr>
              <w:t xml:space="preserve">    </w:t>
            </w:r>
            <w:r>
              <w:rPr>
                <w:color w:val="auto"/>
                <w:sz w:val="28"/>
                <w:szCs w:val="28"/>
              </w:rPr>
              <w:t>万元，提供服务收入</w:t>
            </w:r>
            <w:r>
              <w:rPr>
                <w:color w:val="auto"/>
                <w:sz w:val="28"/>
                <w:szCs w:val="28"/>
                <w:u w:val="single"/>
              </w:rPr>
              <w:t xml:space="preserve"> </w:t>
            </w:r>
            <w:r>
              <w:rPr>
                <w:rFonts w:hint="eastAsia"/>
                <w:color w:val="auto"/>
                <w:sz w:val="28"/>
                <w:szCs w:val="28"/>
                <w:u w:val="single"/>
                <w:lang w:val="en-US" w:eastAsia="zh-CN"/>
              </w:rPr>
              <w:t xml:space="preserve"> </w:t>
            </w:r>
            <w:r>
              <w:rPr>
                <w:color w:val="auto"/>
                <w:sz w:val="28"/>
                <w:szCs w:val="28"/>
                <w:u w:val="single"/>
              </w:rPr>
              <w:t xml:space="preserve"> </w:t>
            </w:r>
            <w:r>
              <w:rPr>
                <w:color w:val="auto"/>
                <w:sz w:val="28"/>
                <w:szCs w:val="28"/>
              </w:rPr>
              <w:t>万元，其他收入</w:t>
            </w:r>
          </w:p>
          <w:p>
            <w:pPr>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Arial" w:hAnsi="Arial" w:eastAsia="Arial" w:cs="Arial"/>
                <w:snapToGrid w:val="0"/>
                <w:color w:val="auto"/>
                <w:kern w:val="0"/>
                <w:sz w:val="28"/>
                <w:szCs w:val="28"/>
                <w:lang w:val="en-US" w:eastAsia="en-US" w:bidi="ar-SA"/>
              </w:rPr>
            </w:pPr>
            <w:r>
              <w:rPr>
                <w:color w:val="auto"/>
                <w:sz w:val="28"/>
                <w:szCs w:val="28"/>
                <w:u w:val="single"/>
              </w:rPr>
              <w:t xml:space="preserve">   </w:t>
            </w:r>
            <w:r>
              <w:rPr>
                <w:rFonts w:hint="eastAsia" w:eastAsia="宋体"/>
                <w:color w:val="auto"/>
                <w:sz w:val="28"/>
                <w:szCs w:val="28"/>
                <w:u w:val="single"/>
                <w:lang w:val="en-US" w:eastAsia="zh-CN"/>
              </w:rPr>
              <w:t xml:space="preserve">     </w:t>
            </w:r>
            <w:r>
              <w:rPr>
                <w:color w:val="auto"/>
                <w:sz w:val="28"/>
                <w:szCs w:val="28"/>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_GB2312" w:hAnsi="Arial" w:eastAsia="Arial" w:cs="Arial"/>
                <w:snapToGrid w:val="0"/>
                <w:color w:val="auto"/>
                <w:kern w:val="0"/>
                <w:sz w:val="28"/>
                <w:szCs w:val="28"/>
                <w:lang w:val="en-US" w:eastAsia="en-US" w:bidi="ar-SA"/>
              </w:rPr>
            </w:pPr>
            <w:r>
              <w:rPr>
                <w:rFonts w:hint="eastAsia" w:ascii="仿宋_GB2312" w:cs="仿宋_GB2312"/>
                <w:color w:val="auto"/>
                <w:sz w:val="28"/>
                <w:szCs w:val="28"/>
              </w:rPr>
              <w:t>支出</w:t>
            </w:r>
          </w:p>
        </w:tc>
        <w:tc>
          <w:tcPr>
            <w:tcW w:w="7193" w:type="dxa"/>
            <w:gridSpan w:val="5"/>
            <w:vAlign w:val="center"/>
          </w:tcPr>
          <w:p>
            <w:pPr>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Arial" w:hAnsi="Arial" w:eastAsia="Arial" w:cs="Arial"/>
                <w:snapToGrid w:val="0"/>
                <w:color w:val="auto"/>
                <w:kern w:val="0"/>
                <w:sz w:val="28"/>
                <w:szCs w:val="28"/>
                <w:lang w:val="en-US" w:eastAsia="en-US" w:bidi="ar-SA"/>
              </w:rPr>
            </w:pPr>
            <w:r>
              <w:rPr>
                <w:color w:val="auto"/>
                <w:sz w:val="28"/>
                <w:szCs w:val="28"/>
                <w:u w:val="single"/>
              </w:rPr>
              <w:t xml:space="preserve"> </w:t>
            </w:r>
            <w:r>
              <w:rPr>
                <w:rFonts w:hint="eastAsia"/>
                <w:color w:val="auto"/>
                <w:sz w:val="28"/>
                <w:szCs w:val="28"/>
                <w:u w:val="single"/>
                <w:lang w:val="en-US" w:eastAsia="zh-CN"/>
              </w:rPr>
              <w:t xml:space="preserve">   </w:t>
            </w:r>
            <w:r>
              <w:rPr>
                <w:color w:val="auto"/>
                <w:sz w:val="28"/>
                <w:szCs w:val="28"/>
                <w:u w:val="single"/>
              </w:rPr>
              <w:t xml:space="preserve"> </w:t>
            </w:r>
            <w:r>
              <w:rPr>
                <w:color w:val="auto"/>
                <w:sz w:val="28"/>
                <w:szCs w:val="28"/>
              </w:rPr>
              <w:t>万元（其中建设支出</w:t>
            </w:r>
            <w:r>
              <w:rPr>
                <w:color w:val="auto"/>
                <w:sz w:val="28"/>
                <w:szCs w:val="28"/>
                <w:u w:val="single"/>
              </w:rPr>
              <w:t xml:space="preserve">  </w:t>
            </w:r>
            <w:r>
              <w:rPr>
                <w:rFonts w:hint="eastAsia"/>
                <w:color w:val="auto"/>
                <w:sz w:val="28"/>
                <w:szCs w:val="28"/>
                <w:u w:val="single"/>
                <w:lang w:val="en-US" w:eastAsia="zh-CN"/>
              </w:rPr>
              <w:t xml:space="preserve"> </w:t>
            </w:r>
            <w:r>
              <w:rPr>
                <w:color w:val="auto"/>
                <w:sz w:val="28"/>
                <w:szCs w:val="28"/>
                <w:u w:val="single"/>
              </w:rPr>
              <w:t xml:space="preserve"> </w:t>
            </w:r>
            <w:r>
              <w:rPr>
                <w:color w:val="auto"/>
                <w:sz w:val="28"/>
                <w:szCs w:val="28"/>
              </w:rPr>
              <w:t>万元，运营支出</w:t>
            </w:r>
            <w:r>
              <w:rPr>
                <w:color w:val="auto"/>
                <w:sz w:val="28"/>
                <w:szCs w:val="28"/>
                <w:u w:val="single"/>
              </w:rPr>
              <w:t xml:space="preserve">  </w:t>
            </w:r>
            <w:r>
              <w:rPr>
                <w:rFonts w:hint="eastAsia"/>
                <w:color w:val="auto"/>
                <w:sz w:val="28"/>
                <w:szCs w:val="28"/>
                <w:u w:val="single"/>
                <w:lang w:val="en-US" w:eastAsia="zh-CN"/>
              </w:rPr>
              <w:t xml:space="preserve"> </w:t>
            </w:r>
            <w:r>
              <w:rPr>
                <w:color w:val="auto"/>
                <w:sz w:val="28"/>
                <w:szCs w:val="28"/>
                <w:u w:val="single"/>
              </w:rPr>
              <w:t xml:space="preserve"> </w:t>
            </w:r>
            <w:r>
              <w:rPr>
                <w:color w:val="auto"/>
                <w:sz w:val="28"/>
                <w:szCs w:val="28"/>
              </w:rPr>
              <w:t>万元，人员工资支出</w:t>
            </w:r>
            <w:r>
              <w:rPr>
                <w:color w:val="auto"/>
                <w:sz w:val="28"/>
                <w:szCs w:val="28"/>
                <w:u w:val="single"/>
              </w:rPr>
              <w:t xml:space="preserve">  </w:t>
            </w:r>
            <w:r>
              <w:rPr>
                <w:rFonts w:hint="eastAsia"/>
                <w:color w:val="auto"/>
                <w:sz w:val="28"/>
                <w:szCs w:val="28"/>
                <w:u w:val="single"/>
                <w:lang w:val="en-US" w:eastAsia="zh-CN"/>
              </w:rPr>
              <w:t xml:space="preserve"> </w:t>
            </w:r>
            <w:r>
              <w:rPr>
                <w:color w:val="auto"/>
                <w:sz w:val="28"/>
                <w:szCs w:val="28"/>
                <w:u w:val="single"/>
              </w:rPr>
              <w:t xml:space="preserve"> </w:t>
            </w:r>
            <w:r>
              <w:rPr>
                <w:color w:val="auto"/>
                <w:sz w:val="28"/>
                <w:szCs w:val="28"/>
              </w:rPr>
              <w:t>万元，其他支出</w:t>
            </w:r>
            <w:r>
              <w:rPr>
                <w:color w:val="auto"/>
                <w:sz w:val="28"/>
                <w:szCs w:val="28"/>
                <w:u w:val="single"/>
              </w:rPr>
              <w:t xml:space="preserve"> </w:t>
            </w:r>
            <w:r>
              <w:rPr>
                <w:rFonts w:hint="eastAsia"/>
                <w:color w:val="auto"/>
                <w:sz w:val="28"/>
                <w:szCs w:val="28"/>
                <w:u w:val="single"/>
                <w:lang w:val="en-US" w:eastAsia="zh-CN"/>
              </w:rPr>
              <w:t xml:space="preserve"> </w:t>
            </w:r>
            <w:r>
              <w:rPr>
                <w:color w:val="auto"/>
                <w:sz w:val="28"/>
                <w:szCs w:val="28"/>
                <w:u w:val="single"/>
              </w:rPr>
              <w:t xml:space="preserve">  </w:t>
            </w:r>
            <w:r>
              <w:rPr>
                <w:color w:val="auto"/>
                <w:sz w:val="28"/>
                <w:szCs w:val="28"/>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color w:val="auto"/>
                <w:sz w:val="28"/>
                <w:szCs w:val="28"/>
              </w:rPr>
            </w:pPr>
            <w:r>
              <w:rPr>
                <w:color w:val="auto"/>
                <w:sz w:val="28"/>
                <w:szCs w:val="28"/>
              </w:rPr>
              <w:t>总盈利或</w:t>
            </w:r>
          </w:p>
          <w:p>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_GB2312" w:cs="仿宋_GB2312"/>
                <w:color w:val="auto"/>
                <w:sz w:val="28"/>
                <w:szCs w:val="28"/>
              </w:rPr>
            </w:pPr>
            <w:r>
              <w:rPr>
                <w:color w:val="auto"/>
                <w:sz w:val="28"/>
                <w:szCs w:val="28"/>
              </w:rPr>
              <w:t>亏损（万元）</w:t>
            </w:r>
          </w:p>
        </w:tc>
        <w:tc>
          <w:tcPr>
            <w:tcW w:w="7193" w:type="dxa"/>
            <w:gridSpan w:val="5"/>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color w:val="auto"/>
                <w:spacing w:val="-2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color w:val="auto"/>
                <w:sz w:val="28"/>
                <w:szCs w:val="28"/>
                <w:lang w:eastAsia="zh-CN"/>
              </w:rPr>
            </w:pPr>
            <w:r>
              <w:rPr>
                <w:rFonts w:hint="eastAsia"/>
                <w:color w:val="auto"/>
                <w:sz w:val="28"/>
                <w:szCs w:val="28"/>
                <w:lang w:eastAsia="zh-CN"/>
              </w:rPr>
              <w:t>当年提取维护费（万元）</w:t>
            </w:r>
          </w:p>
        </w:tc>
        <w:tc>
          <w:tcPr>
            <w:tcW w:w="7193" w:type="dxa"/>
            <w:gridSpan w:val="5"/>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2055" w:type="dxa"/>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color w:val="auto"/>
                <w:sz w:val="28"/>
                <w:szCs w:val="28"/>
              </w:rPr>
            </w:pPr>
            <w:r>
              <w:rPr>
                <w:rFonts w:hint="eastAsia"/>
                <w:color w:val="auto"/>
                <w:sz w:val="28"/>
                <w:szCs w:val="28"/>
                <w:lang w:eastAsia="zh-CN"/>
              </w:rPr>
              <w:t>累计提取维护费（万元）</w:t>
            </w:r>
          </w:p>
        </w:tc>
        <w:tc>
          <w:tcPr>
            <w:tcW w:w="7193" w:type="dxa"/>
            <w:gridSpan w:val="5"/>
            <w:vAlign w:val="center"/>
          </w:tcPr>
          <w:p>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color w:val="auto"/>
                <w:sz w:val="28"/>
                <w:szCs w:val="28"/>
              </w:rPr>
            </w:pPr>
          </w:p>
        </w:tc>
      </w:tr>
    </w:tbl>
    <w:p>
      <w:pPr>
        <w:rPr>
          <w:rFonts w:hint="eastAsia" w:eastAsia="楷体_GB2312"/>
          <w:color w:val="auto"/>
          <w:sz w:val="28"/>
          <w:szCs w:val="28"/>
          <w:lang w:val="en-US" w:eastAsia="zh-CN"/>
        </w:rPr>
      </w:pPr>
      <w:r>
        <w:rPr>
          <w:rFonts w:hint="eastAsia" w:eastAsia="楷体_GB2312"/>
          <w:color w:val="auto"/>
          <w:sz w:val="28"/>
          <w:szCs w:val="28"/>
          <w:lang w:val="en-US" w:eastAsia="zh-CN"/>
        </w:rPr>
        <w:br w:type="page"/>
      </w:r>
    </w:p>
    <w:p>
      <w:pPr>
        <w:pStyle w:val="2"/>
        <w:ind w:left="0" w:leftChars="0" w:firstLine="0" w:firstLineChars="0"/>
        <w:rPr>
          <w:rFonts w:hint="eastAsia" w:eastAsia="楷体_GB2312"/>
          <w:color w:val="auto"/>
          <w:sz w:val="28"/>
          <w:szCs w:val="28"/>
          <w:lang w:val="en-US" w:eastAsia="zh-CN"/>
        </w:rPr>
      </w:pPr>
    </w:p>
    <w:p>
      <w:pPr>
        <w:pStyle w:val="2"/>
        <w:ind w:left="0" w:leftChars="0" w:firstLine="0" w:firstLineChars="0"/>
        <w:jc w:val="center"/>
        <w:rPr>
          <w:rFonts w:hint="eastAsia" w:ascii="黑体" w:hAnsi="黑体" w:eastAsia="黑体" w:cs="黑体"/>
          <w:color w:val="auto"/>
          <w:sz w:val="44"/>
          <w:szCs w:val="44"/>
          <w:lang w:val="en-US" w:eastAsia="zh-CN"/>
        </w:rPr>
      </w:pPr>
      <w:r>
        <w:rPr>
          <w:rFonts w:hint="eastAsia" w:ascii="黑体" w:hAnsi="黑体" w:eastAsia="黑体" w:cs="黑体"/>
          <w:color w:val="auto"/>
          <w:sz w:val="44"/>
          <w:szCs w:val="44"/>
          <w:lang w:val="en-US" w:eastAsia="zh-CN"/>
        </w:rPr>
        <w:t>年 检 结 果</w:t>
      </w:r>
    </w:p>
    <w:tbl>
      <w:tblPr>
        <w:tblStyle w:val="5"/>
        <w:tblW w:w="92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5"/>
        <w:gridCol w:w="68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8" w:hRule="atLeast"/>
          <w:jc w:val="center"/>
        </w:trPr>
        <w:tc>
          <w:tcPr>
            <w:tcW w:w="2415" w:type="dxa"/>
            <w:vAlign w:val="center"/>
          </w:tcPr>
          <w:p>
            <w:pPr>
              <w:keepNext w:val="0"/>
              <w:keepLines w:val="0"/>
              <w:pageBreakBefore w:val="0"/>
              <w:widowControl w:val="0"/>
              <w:kinsoku/>
              <w:wordWrap w:val="0"/>
              <w:overflowPunct/>
              <w:topLinePunct/>
              <w:autoSpaceDE/>
              <w:autoSpaceDN/>
              <w:bidi w:val="0"/>
              <w:adjustRightInd/>
              <w:snapToGrid/>
              <w:spacing w:line="500" w:lineRule="exact"/>
              <w:ind w:right="0" w:rightChars="0"/>
              <w:jc w:val="center"/>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公墓单位</w:t>
            </w:r>
          </w:p>
          <w:p>
            <w:pPr>
              <w:keepNext w:val="0"/>
              <w:keepLines w:val="0"/>
              <w:pageBreakBefore w:val="0"/>
              <w:widowControl w:val="0"/>
              <w:kinsoku/>
              <w:wordWrap w:val="0"/>
              <w:overflowPunct/>
              <w:topLinePunct/>
              <w:autoSpaceDE/>
              <w:autoSpaceDN/>
              <w:bidi w:val="0"/>
              <w:adjustRightInd/>
              <w:snapToGrid/>
              <w:spacing w:line="500" w:lineRule="exact"/>
              <w:ind w:right="0" w:rightChars="0"/>
              <w:jc w:val="center"/>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自查意见</w:t>
            </w:r>
          </w:p>
        </w:tc>
        <w:tc>
          <w:tcPr>
            <w:tcW w:w="6833" w:type="dxa"/>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rPr>
            </w:pPr>
          </w:p>
          <w:p>
            <w:pPr>
              <w:keepNext w:val="0"/>
              <w:keepLines w:val="0"/>
              <w:pageBreakBefore w:val="0"/>
              <w:widowControl w:val="0"/>
              <w:kinsoku/>
              <w:wordWrap w:val="0"/>
              <w:overflowPunct/>
              <w:topLinePunct/>
              <w:autoSpaceDE/>
              <w:autoSpaceDN/>
              <w:bidi w:val="0"/>
              <w:spacing w:line="560" w:lineRule="exact"/>
              <w:ind w:right="0" w:rightChars="0"/>
              <w:jc w:val="both"/>
              <w:rPr>
                <w:rFonts w:hint="eastAsia" w:asciiTheme="majorEastAsia" w:hAnsiTheme="majorEastAsia" w:eastAsiaTheme="majorEastAsia" w:cstheme="majorEastAsia"/>
                <w:color w:val="auto"/>
                <w:sz w:val="24"/>
                <w:szCs w:val="24"/>
              </w:rPr>
            </w:pPr>
          </w:p>
          <w:p>
            <w:pPr>
              <w:keepNext w:val="0"/>
              <w:keepLines w:val="0"/>
              <w:pageBreakBefore w:val="0"/>
              <w:widowControl w:val="0"/>
              <w:kinsoku/>
              <w:wordWrap w:val="0"/>
              <w:overflowPunct/>
              <w:topLinePunct/>
              <w:autoSpaceDE/>
              <w:autoSpaceDN/>
              <w:bidi w:val="0"/>
              <w:spacing w:line="560" w:lineRule="exact"/>
              <w:ind w:right="0" w:rightChars="0"/>
              <w:jc w:val="right"/>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 xml:space="preserve">（盖章）     </w:t>
            </w:r>
          </w:p>
          <w:p>
            <w:pPr>
              <w:keepNext w:val="0"/>
              <w:keepLines w:val="0"/>
              <w:pageBreakBefore w:val="0"/>
              <w:widowControl w:val="0"/>
              <w:kinsoku/>
              <w:wordWrap w:val="0"/>
              <w:overflowPunct/>
              <w:topLinePunct/>
              <w:autoSpaceDE/>
              <w:autoSpaceDN/>
              <w:bidi w:val="0"/>
              <w:spacing w:line="560" w:lineRule="exact"/>
              <w:ind w:right="0" w:rightChars="0"/>
              <w:jc w:val="right"/>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0" w:hRule="atLeast"/>
          <w:jc w:val="center"/>
        </w:trPr>
        <w:tc>
          <w:tcPr>
            <w:tcW w:w="2415" w:type="dxa"/>
            <w:vAlign w:val="center"/>
          </w:tcPr>
          <w:p>
            <w:pPr>
              <w:keepNext w:val="0"/>
              <w:keepLines w:val="0"/>
              <w:pageBreakBefore w:val="0"/>
              <w:widowControl w:val="0"/>
              <w:kinsoku/>
              <w:wordWrap w:val="0"/>
              <w:overflowPunct/>
              <w:topLinePunct/>
              <w:autoSpaceDE/>
              <w:autoSpaceDN/>
              <w:bidi w:val="0"/>
              <w:adjustRightInd/>
              <w:snapToGrid/>
              <w:spacing w:line="500" w:lineRule="exact"/>
              <w:ind w:right="0" w:rightChars="0"/>
              <w:jc w:val="center"/>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lang w:eastAsia="zh-CN"/>
              </w:rPr>
              <w:t>县级</w:t>
            </w:r>
            <w:r>
              <w:rPr>
                <w:rFonts w:hint="eastAsia" w:asciiTheme="majorEastAsia" w:hAnsiTheme="majorEastAsia" w:eastAsiaTheme="majorEastAsia" w:cstheme="majorEastAsia"/>
                <w:color w:val="auto"/>
                <w:sz w:val="24"/>
                <w:szCs w:val="24"/>
              </w:rPr>
              <w:t>民政部门</w:t>
            </w:r>
          </w:p>
          <w:p>
            <w:pPr>
              <w:keepNext w:val="0"/>
              <w:keepLines w:val="0"/>
              <w:pageBreakBefore w:val="0"/>
              <w:widowControl w:val="0"/>
              <w:kinsoku/>
              <w:wordWrap w:val="0"/>
              <w:overflowPunct/>
              <w:topLinePunct/>
              <w:autoSpaceDE/>
              <w:autoSpaceDN/>
              <w:bidi w:val="0"/>
              <w:adjustRightInd/>
              <w:snapToGrid/>
              <w:spacing w:line="500" w:lineRule="exact"/>
              <w:ind w:right="0" w:rightChars="0"/>
              <w:jc w:val="center"/>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意见</w:t>
            </w:r>
          </w:p>
        </w:tc>
        <w:tc>
          <w:tcPr>
            <w:tcW w:w="6833" w:type="dxa"/>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rPr>
            </w:pPr>
          </w:p>
          <w:p>
            <w:pPr>
              <w:keepNext w:val="0"/>
              <w:keepLines w:val="0"/>
              <w:pageBreakBefore w:val="0"/>
              <w:widowControl w:val="0"/>
              <w:kinsoku/>
              <w:wordWrap w:val="0"/>
              <w:overflowPunct/>
              <w:topLinePunct/>
              <w:autoSpaceDE/>
              <w:autoSpaceDN/>
              <w:bidi w:val="0"/>
              <w:spacing w:line="560" w:lineRule="exact"/>
              <w:ind w:right="0" w:rightChars="0"/>
              <w:jc w:val="both"/>
              <w:rPr>
                <w:rFonts w:hint="eastAsia" w:asciiTheme="majorEastAsia" w:hAnsiTheme="majorEastAsia" w:eastAsiaTheme="majorEastAsia" w:cstheme="majorEastAsia"/>
                <w:color w:val="auto"/>
                <w:sz w:val="24"/>
                <w:szCs w:val="24"/>
              </w:rPr>
            </w:pPr>
          </w:p>
          <w:p>
            <w:pPr>
              <w:keepNext w:val="0"/>
              <w:keepLines w:val="0"/>
              <w:pageBreakBefore w:val="0"/>
              <w:widowControl w:val="0"/>
              <w:kinsoku/>
              <w:wordWrap w:val="0"/>
              <w:overflowPunct/>
              <w:topLinePunct/>
              <w:autoSpaceDE/>
              <w:autoSpaceDN/>
              <w:bidi w:val="0"/>
              <w:spacing w:line="560" w:lineRule="exact"/>
              <w:ind w:right="0" w:rightChars="0"/>
              <w:jc w:val="right"/>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 xml:space="preserve">（盖章）     </w:t>
            </w:r>
          </w:p>
          <w:p>
            <w:pPr>
              <w:keepNext w:val="0"/>
              <w:keepLines w:val="0"/>
              <w:pageBreakBefore w:val="0"/>
              <w:widowControl w:val="0"/>
              <w:kinsoku/>
              <w:wordWrap w:val="0"/>
              <w:overflowPunct/>
              <w:topLinePunct/>
              <w:autoSpaceDE/>
              <w:autoSpaceDN/>
              <w:bidi w:val="0"/>
              <w:spacing w:line="560" w:lineRule="exact"/>
              <w:ind w:right="0" w:rightChars="0"/>
              <w:jc w:val="right"/>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415" w:type="dxa"/>
            <w:vAlign w:val="center"/>
          </w:tcPr>
          <w:p>
            <w:pPr>
              <w:keepNext w:val="0"/>
              <w:keepLines w:val="0"/>
              <w:pageBreakBefore w:val="0"/>
              <w:widowControl w:val="0"/>
              <w:kinsoku/>
              <w:wordWrap w:val="0"/>
              <w:overflowPunct/>
              <w:topLinePunct/>
              <w:autoSpaceDE/>
              <w:autoSpaceDN/>
              <w:bidi w:val="0"/>
              <w:adjustRightInd/>
              <w:snapToGrid/>
              <w:spacing w:line="500" w:lineRule="exact"/>
              <w:ind w:right="0" w:rightChars="0"/>
              <w:jc w:val="center"/>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市（州）民政局业务</w:t>
            </w:r>
          </w:p>
          <w:p>
            <w:pPr>
              <w:keepNext w:val="0"/>
              <w:keepLines w:val="0"/>
              <w:pageBreakBefore w:val="0"/>
              <w:widowControl w:val="0"/>
              <w:kinsoku/>
              <w:wordWrap w:val="0"/>
              <w:overflowPunct/>
              <w:topLinePunct/>
              <w:autoSpaceDE/>
              <w:autoSpaceDN/>
              <w:bidi w:val="0"/>
              <w:adjustRightInd/>
              <w:snapToGrid/>
              <w:spacing w:line="500" w:lineRule="exact"/>
              <w:ind w:right="0" w:rightChars="0"/>
              <w:jc w:val="center"/>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主管部门意见</w:t>
            </w:r>
          </w:p>
        </w:tc>
        <w:tc>
          <w:tcPr>
            <w:tcW w:w="6833" w:type="dxa"/>
            <w:vAlign w:val="top"/>
          </w:tcPr>
          <w:p>
            <w:pPr>
              <w:keepNext w:val="0"/>
              <w:keepLines w:val="0"/>
              <w:pageBreakBefore w:val="0"/>
              <w:widowControl w:val="0"/>
              <w:kinsoku/>
              <w:wordWrap w:val="0"/>
              <w:overflowPunct/>
              <w:topLinePunct/>
              <w:autoSpaceDE/>
              <w:autoSpaceDN/>
              <w:bidi w:val="0"/>
              <w:spacing w:line="560" w:lineRule="exact"/>
              <w:ind w:right="0" w:rightChars="0"/>
              <w:jc w:val="right"/>
              <w:rPr>
                <w:rFonts w:hint="eastAsia" w:asciiTheme="majorEastAsia" w:hAnsiTheme="majorEastAsia" w:eastAsiaTheme="majorEastAsia" w:cstheme="majorEastAsia"/>
                <w:color w:val="auto"/>
                <w:sz w:val="24"/>
                <w:szCs w:val="24"/>
              </w:rPr>
            </w:pPr>
          </w:p>
          <w:p>
            <w:pPr>
              <w:keepNext w:val="0"/>
              <w:keepLines w:val="0"/>
              <w:pageBreakBefore w:val="0"/>
              <w:widowControl w:val="0"/>
              <w:kinsoku/>
              <w:wordWrap w:val="0"/>
              <w:overflowPunct/>
              <w:topLinePunct/>
              <w:autoSpaceDE/>
              <w:autoSpaceDN/>
              <w:bidi w:val="0"/>
              <w:spacing w:line="560" w:lineRule="exact"/>
              <w:ind w:right="0" w:rightChars="0"/>
              <w:jc w:val="right"/>
              <w:rPr>
                <w:rFonts w:hint="eastAsia" w:asciiTheme="majorEastAsia" w:hAnsiTheme="majorEastAsia" w:eastAsiaTheme="majorEastAsia" w:cstheme="majorEastAsia"/>
                <w:color w:val="auto"/>
                <w:sz w:val="24"/>
                <w:szCs w:val="24"/>
              </w:rPr>
            </w:pPr>
          </w:p>
          <w:p>
            <w:pPr>
              <w:keepNext w:val="0"/>
              <w:keepLines w:val="0"/>
              <w:pageBreakBefore w:val="0"/>
              <w:widowControl w:val="0"/>
              <w:kinsoku/>
              <w:wordWrap w:val="0"/>
              <w:overflowPunct/>
              <w:topLinePunct/>
              <w:autoSpaceDE/>
              <w:autoSpaceDN/>
              <w:bidi w:val="0"/>
              <w:spacing w:line="560" w:lineRule="exact"/>
              <w:ind w:right="0" w:rightChars="0"/>
              <w:jc w:val="right"/>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 xml:space="preserve">（盖章）     </w:t>
            </w:r>
          </w:p>
          <w:p>
            <w:pPr>
              <w:keepNext w:val="0"/>
              <w:keepLines w:val="0"/>
              <w:pageBreakBefore w:val="0"/>
              <w:widowControl w:val="0"/>
              <w:kinsoku/>
              <w:wordWrap w:val="0"/>
              <w:overflowPunct/>
              <w:topLinePunct/>
              <w:autoSpaceDE/>
              <w:autoSpaceDN/>
              <w:bidi w:val="0"/>
              <w:spacing w:line="560" w:lineRule="exact"/>
              <w:ind w:right="0" w:rightChars="0"/>
              <w:jc w:val="right"/>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415" w:type="dxa"/>
            <w:vAlign w:val="center"/>
          </w:tcPr>
          <w:p>
            <w:pPr>
              <w:keepNext w:val="0"/>
              <w:keepLines w:val="0"/>
              <w:pageBreakBefore w:val="0"/>
              <w:widowControl w:val="0"/>
              <w:kinsoku/>
              <w:wordWrap w:val="0"/>
              <w:overflowPunct/>
              <w:topLinePunct/>
              <w:autoSpaceDE/>
              <w:autoSpaceDN/>
              <w:bidi w:val="0"/>
              <w:adjustRightInd/>
              <w:snapToGrid/>
              <w:spacing w:line="500" w:lineRule="exact"/>
              <w:ind w:right="0" w:rightChars="0"/>
              <w:jc w:val="center"/>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市（州）</w:t>
            </w:r>
            <w:r>
              <w:rPr>
                <w:rFonts w:hint="eastAsia" w:asciiTheme="majorEastAsia" w:hAnsiTheme="majorEastAsia" w:eastAsiaTheme="majorEastAsia" w:cstheme="majorEastAsia"/>
                <w:color w:val="auto"/>
                <w:sz w:val="24"/>
                <w:szCs w:val="24"/>
              </w:rPr>
              <w:t>民政</w:t>
            </w:r>
            <w:r>
              <w:rPr>
                <w:rFonts w:hint="eastAsia" w:asciiTheme="majorEastAsia" w:hAnsiTheme="majorEastAsia" w:eastAsiaTheme="majorEastAsia" w:cstheme="majorEastAsia"/>
                <w:color w:val="auto"/>
                <w:sz w:val="24"/>
                <w:szCs w:val="24"/>
                <w:lang w:eastAsia="zh-CN"/>
              </w:rPr>
              <w:t>部门</w:t>
            </w:r>
          </w:p>
          <w:p>
            <w:pPr>
              <w:keepNext w:val="0"/>
              <w:keepLines w:val="0"/>
              <w:pageBreakBefore w:val="0"/>
              <w:widowControl w:val="0"/>
              <w:kinsoku/>
              <w:wordWrap w:val="0"/>
              <w:overflowPunct/>
              <w:topLinePunct/>
              <w:autoSpaceDE/>
              <w:autoSpaceDN/>
              <w:bidi w:val="0"/>
              <w:adjustRightInd/>
              <w:snapToGrid/>
              <w:spacing w:line="500" w:lineRule="exact"/>
              <w:ind w:right="0" w:rightChars="0"/>
              <w:jc w:val="center"/>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lang w:eastAsia="zh-CN"/>
              </w:rPr>
              <w:t>年检结论</w:t>
            </w:r>
          </w:p>
        </w:tc>
        <w:tc>
          <w:tcPr>
            <w:tcW w:w="6833" w:type="dxa"/>
            <w:vAlign w:val="top"/>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rPr>
            </w:pPr>
          </w:p>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rPr>
            </w:pPr>
          </w:p>
          <w:p>
            <w:pPr>
              <w:pStyle w:val="2"/>
              <w:keepNext w:val="0"/>
              <w:keepLines w:val="0"/>
              <w:pageBreakBefore w:val="0"/>
              <w:widowControl w:val="0"/>
              <w:kinsoku/>
              <w:wordWrap w:val="0"/>
              <w:overflowPunct/>
              <w:topLinePunct/>
              <w:autoSpaceDE/>
              <w:autoSpaceDN/>
              <w:bidi w:val="0"/>
              <w:ind w:right="0" w:rightChars="0"/>
              <w:rPr>
                <w:rFonts w:hint="eastAsia" w:asciiTheme="majorEastAsia" w:hAnsiTheme="majorEastAsia" w:eastAsiaTheme="majorEastAsia" w:cstheme="majorEastAsia"/>
                <w:color w:val="auto"/>
                <w:sz w:val="24"/>
                <w:szCs w:val="24"/>
              </w:rPr>
            </w:pPr>
          </w:p>
          <w:p>
            <w:pPr>
              <w:keepNext w:val="0"/>
              <w:keepLines w:val="0"/>
              <w:pageBreakBefore w:val="0"/>
              <w:widowControl w:val="0"/>
              <w:kinsoku/>
              <w:wordWrap w:val="0"/>
              <w:overflowPunct/>
              <w:topLinePunct/>
              <w:autoSpaceDE/>
              <w:autoSpaceDN/>
              <w:bidi w:val="0"/>
              <w:spacing w:line="560" w:lineRule="exact"/>
              <w:ind w:right="0" w:rightChars="0"/>
              <w:jc w:val="right"/>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 xml:space="preserve">（盖章）     </w:t>
            </w:r>
          </w:p>
          <w:p>
            <w:pPr>
              <w:keepNext w:val="0"/>
              <w:keepLines w:val="0"/>
              <w:pageBreakBefore w:val="0"/>
              <w:widowControl w:val="0"/>
              <w:kinsoku/>
              <w:wordWrap w:val="0"/>
              <w:overflowPunct/>
              <w:topLinePunct/>
              <w:autoSpaceDE/>
              <w:autoSpaceDN/>
              <w:bidi w:val="0"/>
              <w:spacing w:line="560" w:lineRule="exact"/>
              <w:ind w:right="0" w:rightChars="0"/>
              <w:jc w:val="right"/>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415" w:type="dxa"/>
            <w:vAlign w:val="center"/>
          </w:tcPr>
          <w:p>
            <w:pPr>
              <w:keepNext w:val="0"/>
              <w:keepLines w:val="0"/>
              <w:pageBreakBefore w:val="0"/>
              <w:widowControl w:val="0"/>
              <w:kinsoku/>
              <w:wordWrap w:val="0"/>
              <w:overflowPunct/>
              <w:topLinePunct/>
              <w:autoSpaceDE/>
              <w:autoSpaceDN/>
              <w:bidi w:val="0"/>
              <w:adjustRightInd/>
              <w:snapToGrid/>
              <w:spacing w:line="500" w:lineRule="exact"/>
              <w:ind w:right="0" w:rightChars="0"/>
              <w:jc w:val="center"/>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备</w:t>
            </w:r>
            <w:r>
              <w:rPr>
                <w:rFonts w:hint="eastAsia" w:asciiTheme="majorEastAsia" w:hAnsiTheme="majorEastAsia" w:eastAsiaTheme="majorEastAsia" w:cstheme="majorEastAsia"/>
                <w:color w:val="auto"/>
                <w:sz w:val="24"/>
                <w:szCs w:val="24"/>
                <w:lang w:val="en-US" w:eastAsia="zh-CN"/>
              </w:rPr>
              <w:t xml:space="preserve">  </w:t>
            </w:r>
            <w:r>
              <w:rPr>
                <w:rFonts w:hint="eastAsia" w:asciiTheme="majorEastAsia" w:hAnsiTheme="majorEastAsia" w:eastAsiaTheme="majorEastAsia" w:cstheme="majorEastAsia"/>
                <w:color w:val="auto"/>
                <w:sz w:val="24"/>
                <w:szCs w:val="24"/>
                <w:lang w:eastAsia="zh-CN"/>
              </w:rPr>
              <w:t>注</w:t>
            </w:r>
          </w:p>
        </w:tc>
        <w:tc>
          <w:tcPr>
            <w:tcW w:w="6833" w:type="dxa"/>
            <w:vAlign w:val="top"/>
          </w:tcPr>
          <w:p>
            <w:pPr>
              <w:keepNext w:val="0"/>
              <w:keepLines w:val="0"/>
              <w:pageBreakBefore w:val="0"/>
              <w:widowControl w:val="0"/>
              <w:kinsoku/>
              <w:wordWrap w:val="0"/>
              <w:overflowPunct/>
              <w:topLinePunct/>
              <w:autoSpaceDE/>
              <w:autoSpaceDN/>
              <w:bidi w:val="0"/>
              <w:spacing w:line="560" w:lineRule="exact"/>
              <w:ind w:right="0" w:rightChars="0"/>
              <w:jc w:val="both"/>
              <w:rPr>
                <w:rFonts w:hint="eastAsia" w:asciiTheme="majorEastAsia" w:hAnsiTheme="majorEastAsia" w:eastAsiaTheme="majorEastAsia" w:cstheme="majorEastAsia"/>
                <w:color w:val="auto"/>
                <w:sz w:val="24"/>
                <w:szCs w:val="24"/>
              </w:rPr>
            </w:pPr>
          </w:p>
          <w:p>
            <w:pPr>
              <w:keepNext w:val="0"/>
              <w:keepLines w:val="0"/>
              <w:pageBreakBefore w:val="0"/>
              <w:widowControl w:val="0"/>
              <w:kinsoku/>
              <w:wordWrap w:val="0"/>
              <w:overflowPunct/>
              <w:topLinePunct/>
              <w:autoSpaceDE/>
              <w:autoSpaceDN/>
              <w:bidi w:val="0"/>
              <w:spacing w:line="560" w:lineRule="exact"/>
              <w:ind w:right="0" w:rightChars="0"/>
              <w:jc w:val="right"/>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 xml:space="preserve"> </w:t>
            </w:r>
          </w:p>
        </w:tc>
      </w:tr>
    </w:tbl>
    <w:p>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leftChars="0" w:firstLine="0" w:firstLineChars="0"/>
        <w:textAlignment w:val="baseline"/>
        <w:rPr>
          <w:rFonts w:hint="eastAsia" w:eastAsia="楷体_GB2312"/>
          <w:color w:val="auto"/>
          <w:sz w:val="28"/>
          <w:szCs w:val="28"/>
          <w:lang w:val="en-US" w:eastAsia="zh-CN"/>
        </w:rPr>
      </w:pPr>
      <w:r>
        <w:rPr>
          <w:rFonts w:hint="eastAsia" w:eastAsia="楷体_GB2312"/>
          <w:color w:val="auto"/>
          <w:sz w:val="28"/>
          <w:szCs w:val="28"/>
          <w:lang w:val="en-US" w:eastAsia="zh-CN"/>
        </w:rPr>
        <w:t>注：此表一式3份</w:t>
      </w:r>
      <w:r>
        <w:rPr>
          <w:rFonts w:eastAsia="楷体_GB2312"/>
          <w:color w:val="auto"/>
          <w:sz w:val="28"/>
          <w:szCs w:val="28"/>
        </w:rPr>
        <w:t>（</w:t>
      </w:r>
      <w:r>
        <w:rPr>
          <w:rFonts w:hint="eastAsia" w:eastAsia="楷体_GB2312"/>
          <w:color w:val="auto"/>
          <w:sz w:val="28"/>
          <w:szCs w:val="28"/>
          <w:lang w:val="en-US" w:eastAsia="zh-CN"/>
        </w:rPr>
        <w:t>A3对折</w:t>
      </w:r>
      <w:r>
        <w:rPr>
          <w:rFonts w:eastAsia="楷体_GB2312"/>
          <w:color w:val="auto"/>
          <w:sz w:val="28"/>
          <w:szCs w:val="28"/>
        </w:rPr>
        <w:t>双面打印），报民政厅</w:t>
      </w:r>
      <w:r>
        <w:rPr>
          <w:rFonts w:hint="eastAsia" w:eastAsia="楷体_GB2312"/>
          <w:color w:val="auto"/>
          <w:sz w:val="28"/>
          <w:szCs w:val="28"/>
          <w:lang w:eastAsia="zh-CN"/>
        </w:rPr>
        <w:t>主管</w:t>
      </w:r>
      <w:r>
        <w:rPr>
          <w:rFonts w:eastAsia="楷体_GB2312"/>
          <w:color w:val="auto"/>
          <w:sz w:val="28"/>
          <w:szCs w:val="28"/>
        </w:rPr>
        <w:t>处</w:t>
      </w:r>
      <w:r>
        <w:rPr>
          <w:rFonts w:hint="eastAsia" w:eastAsia="楷体_GB2312"/>
          <w:color w:val="auto"/>
          <w:sz w:val="28"/>
          <w:szCs w:val="28"/>
          <w:lang w:eastAsia="zh-CN"/>
        </w:rPr>
        <w:t>室</w:t>
      </w:r>
      <w:r>
        <w:rPr>
          <w:rFonts w:hint="eastAsia" w:eastAsia="楷体_GB2312"/>
          <w:color w:val="auto"/>
          <w:sz w:val="28"/>
          <w:szCs w:val="28"/>
          <w:lang w:val="en-US" w:eastAsia="zh-CN"/>
        </w:rPr>
        <w:t>1</w:t>
      </w:r>
      <w:r>
        <w:rPr>
          <w:rFonts w:eastAsia="楷体_GB2312"/>
          <w:color w:val="auto"/>
          <w:sz w:val="28"/>
          <w:szCs w:val="28"/>
        </w:rPr>
        <w:t>份，</w:t>
      </w:r>
      <w:r>
        <w:rPr>
          <w:rFonts w:hint="eastAsia" w:eastAsia="楷体_GB2312"/>
          <w:color w:val="auto"/>
          <w:sz w:val="28"/>
          <w:szCs w:val="28"/>
          <w:lang w:eastAsia="zh-CN"/>
        </w:rPr>
        <w:t>市（州）民政局</w:t>
      </w:r>
      <w:r>
        <w:rPr>
          <w:rFonts w:eastAsia="楷体_GB2312"/>
          <w:color w:val="auto"/>
          <w:sz w:val="28"/>
          <w:szCs w:val="28"/>
        </w:rPr>
        <w:t>留存</w:t>
      </w:r>
      <w:r>
        <w:rPr>
          <w:rFonts w:hint="eastAsia" w:eastAsia="楷体_GB2312"/>
          <w:color w:val="auto"/>
          <w:sz w:val="28"/>
          <w:szCs w:val="28"/>
          <w:lang w:val="en-US" w:eastAsia="zh-CN"/>
        </w:rPr>
        <w:t>1</w:t>
      </w:r>
      <w:r>
        <w:rPr>
          <w:rFonts w:eastAsia="楷体_GB2312"/>
          <w:color w:val="auto"/>
          <w:sz w:val="28"/>
          <w:szCs w:val="28"/>
        </w:rPr>
        <w:t>份</w:t>
      </w:r>
      <w:r>
        <w:rPr>
          <w:rFonts w:hint="eastAsia" w:eastAsia="楷体_GB2312"/>
          <w:color w:val="auto"/>
          <w:sz w:val="28"/>
          <w:szCs w:val="28"/>
          <w:lang w:eastAsia="zh-CN"/>
        </w:rPr>
        <w:t>，公墓档案存档</w:t>
      </w:r>
      <w:r>
        <w:rPr>
          <w:rFonts w:hint="eastAsia" w:eastAsia="楷体_GB2312"/>
          <w:color w:val="auto"/>
          <w:sz w:val="28"/>
          <w:szCs w:val="28"/>
          <w:lang w:val="en-US" w:eastAsia="zh-CN"/>
        </w:rPr>
        <w:t>1份。</w:t>
      </w:r>
    </w:p>
    <w:p>
      <w:pPr>
        <w:pStyle w:val="2"/>
        <w:ind w:left="0" w:leftChars="0" w:firstLine="0" w:firstLineChars="0"/>
        <w:rPr>
          <w:rFonts w:hint="eastAsia" w:eastAsia="楷体_GB2312"/>
          <w:color w:val="auto"/>
          <w:sz w:val="28"/>
          <w:szCs w:val="28"/>
          <w:lang w:val="en-US" w:eastAsia="zh-CN"/>
        </w:rPr>
        <w:sectPr>
          <w:footerReference r:id="rId8" w:type="default"/>
          <w:pgSz w:w="11906" w:h="16838"/>
          <w:pgMar w:top="2154" w:right="1474" w:bottom="1361" w:left="1587" w:header="0" w:footer="1417" w:gutter="0"/>
          <w:pgNumType w:fmt="decimal"/>
          <w:cols w:space="0" w:num="1"/>
          <w:rtlGutter w:val="0"/>
          <w:docGrid w:linePitch="0" w:charSpace="0"/>
        </w:sectPr>
      </w:pPr>
    </w:p>
    <w:p>
      <w:pPr>
        <w:keepNext w:val="0"/>
        <w:keepLines w:val="0"/>
        <w:pageBreakBefore w:val="0"/>
        <w:widowControl w:val="0"/>
        <w:kinsoku/>
        <w:wordWrap w:val="0"/>
        <w:overflowPunct/>
        <w:topLinePunct/>
        <w:autoSpaceDE/>
        <w:autoSpaceDN/>
        <w:bidi w:val="0"/>
        <w:ind w:right="0" w:rightChars="0"/>
        <w:jc w:val="left"/>
        <w:rPr>
          <w:rFonts w:hint="eastAsia" w:ascii="黑体" w:hAnsi="黑体" w:eastAsia="黑体" w:cs="黑体"/>
          <w:color w:val="auto"/>
          <w:sz w:val="32"/>
          <w:szCs w:val="32"/>
          <w:lang w:val="en-US" w:eastAsia="zh-CN"/>
        </w:rPr>
      </w:pPr>
      <w:r>
        <w:rPr>
          <w:rFonts w:hint="eastAsia" w:ascii="黑体" w:hAnsi="黑体" w:eastAsia="黑体" w:cs="黑体"/>
          <w:snapToGrid w:val="0"/>
          <w:color w:val="auto"/>
          <w:spacing w:val="6"/>
          <w:kern w:val="0"/>
          <w:sz w:val="32"/>
          <w:szCs w:val="32"/>
          <w:lang w:val="en-US" w:eastAsia="en-US" w:bidi="ar-SA"/>
        </w:rPr>
        <w:t>附件</w:t>
      </w:r>
      <w:r>
        <w:rPr>
          <w:rFonts w:hint="eastAsia" w:ascii="黑体" w:hAnsi="黑体" w:eastAsia="黑体" w:cs="黑体"/>
          <w:snapToGrid w:val="0"/>
          <w:color w:val="auto"/>
          <w:spacing w:val="6"/>
          <w:kern w:val="0"/>
          <w:sz w:val="32"/>
          <w:szCs w:val="32"/>
          <w:lang w:val="en-US" w:eastAsia="zh-CN" w:bidi="ar-SA"/>
        </w:rPr>
        <w:t>2</w:t>
      </w:r>
    </w:p>
    <w:p>
      <w:pPr>
        <w:keepNext w:val="0"/>
        <w:keepLines w:val="0"/>
        <w:pageBreakBefore w:val="0"/>
        <w:widowControl w:val="0"/>
        <w:kinsoku/>
        <w:wordWrap w:val="0"/>
        <w:overflowPunct/>
        <w:topLinePunct/>
        <w:autoSpaceDE/>
        <w:autoSpaceDN/>
        <w:bidi w:val="0"/>
        <w:spacing w:line="720" w:lineRule="exact"/>
        <w:ind w:right="0" w:rightChars="0"/>
        <w:jc w:val="center"/>
        <w:rPr>
          <w:rFonts w:hint="eastAsia" w:ascii="方正小标宋简体" w:eastAsia="方正小标宋简体" w:cs="方正小标宋简体"/>
          <w:color w:val="auto"/>
          <w:sz w:val="44"/>
          <w:szCs w:val="44"/>
        </w:rPr>
      </w:pPr>
      <w:r>
        <w:rPr>
          <w:rFonts w:hint="eastAsia" w:ascii="方正小标宋简体" w:eastAsia="方正小标宋简体" w:cs="方正小标宋简体"/>
          <w:color w:val="auto"/>
          <w:sz w:val="44"/>
          <w:szCs w:val="44"/>
          <w:lang w:val="en-US" w:eastAsia="zh-CN"/>
        </w:rPr>
        <w:t>湖南省</w:t>
      </w:r>
      <w:r>
        <w:rPr>
          <w:rFonts w:hint="eastAsia" w:ascii="方正小标宋简体" w:eastAsia="方正小标宋简体" w:cs="方正小标宋简体"/>
          <w:color w:val="auto"/>
          <w:sz w:val="44"/>
          <w:szCs w:val="44"/>
        </w:rPr>
        <w:t>经营性公墓</w:t>
      </w:r>
      <w:r>
        <w:rPr>
          <w:rFonts w:hint="eastAsia" w:ascii="方正小标宋简体" w:eastAsia="方正小标宋简体" w:cs="方正小标宋简体"/>
          <w:color w:val="auto"/>
          <w:sz w:val="44"/>
          <w:szCs w:val="44"/>
          <w:lang w:eastAsia="zh-CN"/>
        </w:rPr>
        <w:t>年度检查评分标准</w:t>
      </w:r>
      <w:r>
        <w:rPr>
          <w:rFonts w:hint="eastAsia" w:ascii="方正小标宋简体" w:eastAsia="方正小标宋简体" w:cs="方正小标宋简体"/>
          <w:color w:val="auto"/>
          <w:sz w:val="44"/>
          <w:szCs w:val="44"/>
        </w:rPr>
        <w:t>表</w:t>
      </w:r>
    </w:p>
    <w:p>
      <w:pPr>
        <w:pStyle w:val="2"/>
        <w:ind w:left="0" w:leftChars="0" w:firstLine="0" w:firstLineChars="0"/>
        <w:rPr>
          <w:rFonts w:hint="eastAsia" w:ascii="仿宋_GB2312" w:hAnsi="仿宋_GB2312" w:eastAsia="仿宋_GB2312" w:cs="仿宋_GB2312"/>
          <w:bCs/>
          <w:snapToGrid w:val="0"/>
          <w:color w:val="auto"/>
          <w:kern w:val="0"/>
          <w:sz w:val="28"/>
          <w:szCs w:val="28"/>
          <w:lang w:val="en-US" w:eastAsia="zh-CN" w:bidi="ar-SA"/>
        </w:rPr>
      </w:pPr>
      <w:r>
        <w:rPr>
          <w:rFonts w:hint="eastAsia" w:ascii="仿宋_GB2312" w:hAnsi="仿宋_GB2312" w:eastAsia="仿宋_GB2312" w:cs="仿宋_GB2312"/>
          <w:bCs/>
          <w:snapToGrid w:val="0"/>
          <w:color w:val="auto"/>
          <w:kern w:val="0"/>
          <w:sz w:val="28"/>
          <w:szCs w:val="28"/>
          <w:lang w:val="en-US" w:eastAsia="zh-CN" w:bidi="ar-SA"/>
        </w:rPr>
        <w:t>检查组长签名：                                总得分：</w:t>
      </w:r>
    </w:p>
    <w:tbl>
      <w:tblPr>
        <w:tblStyle w:val="5"/>
        <w:tblW w:w="92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4"/>
        <w:gridCol w:w="3755"/>
        <w:gridCol w:w="7"/>
        <w:gridCol w:w="816"/>
        <w:gridCol w:w="900"/>
        <w:gridCol w:w="252"/>
        <w:gridCol w:w="18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248" w:type="dxa"/>
            <w:gridSpan w:val="7"/>
            <w:vAlign w:val="center"/>
          </w:tcPr>
          <w:p>
            <w:pPr>
              <w:keepNext w:val="0"/>
              <w:keepLines w:val="0"/>
              <w:pageBreakBefore w:val="0"/>
              <w:widowControl w:val="0"/>
              <w:kinsoku/>
              <w:wordWrap w:val="0"/>
              <w:overflowPunct/>
              <w:topLinePunct/>
              <w:autoSpaceDE/>
              <w:autoSpaceDN/>
              <w:bidi w:val="0"/>
              <w:spacing w:line="560" w:lineRule="exact"/>
              <w:ind w:right="0" w:rightChars="0"/>
              <w:jc w:val="center"/>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b/>
                <w:bCs/>
                <w:color w:val="auto"/>
                <w:sz w:val="24"/>
                <w:szCs w:val="24"/>
              </w:rPr>
              <w:t>检查评分情况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5406" w:type="dxa"/>
            <w:gridSpan w:val="3"/>
            <w:vMerge w:val="restart"/>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bCs/>
                <w:color w:val="auto"/>
                <w:sz w:val="24"/>
                <w:szCs w:val="24"/>
              </w:rPr>
            </w:pPr>
            <w:r>
              <w:rPr>
                <w:rFonts w:hint="eastAsia" w:asciiTheme="majorEastAsia" w:hAnsiTheme="majorEastAsia" w:eastAsiaTheme="majorEastAsia" w:cstheme="majorEastAsia"/>
                <w:bCs/>
                <w:color w:val="auto"/>
                <w:sz w:val="24"/>
                <w:szCs w:val="24"/>
              </w:rPr>
              <w:t>检查内容及分值</w:t>
            </w:r>
          </w:p>
        </w:tc>
        <w:tc>
          <w:tcPr>
            <w:tcW w:w="816" w:type="dxa"/>
            <w:vMerge w:val="restart"/>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bCs/>
                <w:color w:val="auto"/>
                <w:sz w:val="24"/>
                <w:szCs w:val="24"/>
              </w:rPr>
            </w:pPr>
            <w:r>
              <w:rPr>
                <w:rFonts w:hint="eastAsia" w:asciiTheme="majorEastAsia" w:hAnsiTheme="majorEastAsia" w:eastAsiaTheme="majorEastAsia" w:cstheme="majorEastAsia"/>
                <w:bCs/>
                <w:color w:val="auto"/>
                <w:sz w:val="24"/>
                <w:szCs w:val="24"/>
                <w:lang w:eastAsia="zh-CN"/>
              </w:rPr>
              <w:t>初</w:t>
            </w:r>
            <w:r>
              <w:rPr>
                <w:rFonts w:hint="eastAsia" w:asciiTheme="majorEastAsia" w:hAnsiTheme="majorEastAsia" w:eastAsiaTheme="majorEastAsia" w:cstheme="majorEastAsia"/>
                <w:bCs/>
                <w:color w:val="auto"/>
                <w:sz w:val="24"/>
                <w:szCs w:val="24"/>
              </w:rPr>
              <w:t>查</w:t>
            </w:r>
          </w:p>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bCs/>
                <w:color w:val="auto"/>
                <w:sz w:val="24"/>
                <w:szCs w:val="24"/>
              </w:rPr>
            </w:pPr>
            <w:r>
              <w:rPr>
                <w:rFonts w:hint="eastAsia" w:asciiTheme="majorEastAsia" w:hAnsiTheme="majorEastAsia" w:eastAsiaTheme="majorEastAsia" w:cstheme="majorEastAsia"/>
                <w:bCs/>
                <w:color w:val="auto"/>
                <w:sz w:val="24"/>
                <w:szCs w:val="24"/>
              </w:rPr>
              <w:t>评分</w:t>
            </w:r>
          </w:p>
        </w:tc>
        <w:tc>
          <w:tcPr>
            <w:tcW w:w="3026" w:type="dxa"/>
            <w:gridSpan w:val="3"/>
            <w:vAlign w:val="center"/>
          </w:tcPr>
          <w:p>
            <w:pPr>
              <w:keepNext w:val="0"/>
              <w:keepLines w:val="0"/>
              <w:pageBreakBefore w:val="0"/>
              <w:widowControl w:val="0"/>
              <w:kinsoku/>
              <w:wordWrap w:val="0"/>
              <w:overflowPunct/>
              <w:topLinePunct/>
              <w:autoSpaceDE/>
              <w:autoSpaceDN/>
              <w:bidi w:val="0"/>
              <w:spacing w:line="420" w:lineRule="exact"/>
              <w:ind w:right="0" w:rightChars="0"/>
              <w:jc w:val="center"/>
              <w:rPr>
                <w:rFonts w:hint="eastAsia" w:asciiTheme="majorEastAsia" w:hAnsiTheme="majorEastAsia" w:eastAsiaTheme="majorEastAsia" w:cstheme="majorEastAsia"/>
                <w:bCs/>
                <w:color w:val="auto"/>
                <w:sz w:val="24"/>
                <w:szCs w:val="24"/>
              </w:rPr>
            </w:pPr>
            <w:r>
              <w:rPr>
                <w:rFonts w:hint="eastAsia" w:asciiTheme="majorEastAsia" w:hAnsiTheme="majorEastAsia" w:eastAsiaTheme="majorEastAsia" w:cstheme="majorEastAsia"/>
                <w:bCs/>
                <w:color w:val="auto"/>
                <w:sz w:val="24"/>
                <w:szCs w:val="24"/>
              </w:rPr>
              <w:t>市</w:t>
            </w:r>
            <w:r>
              <w:rPr>
                <w:rFonts w:hint="eastAsia" w:asciiTheme="majorEastAsia" w:hAnsiTheme="majorEastAsia" w:eastAsiaTheme="majorEastAsia" w:cstheme="majorEastAsia"/>
                <w:bCs/>
                <w:color w:val="auto"/>
                <w:sz w:val="24"/>
                <w:szCs w:val="24"/>
                <w:lang w:eastAsia="zh-CN"/>
              </w:rPr>
              <w:t>（州）民政局</w:t>
            </w:r>
            <w:r>
              <w:rPr>
                <w:rFonts w:hint="eastAsia" w:asciiTheme="majorEastAsia" w:hAnsiTheme="majorEastAsia" w:eastAsiaTheme="majorEastAsia" w:cstheme="majorEastAsia"/>
                <w:bCs/>
                <w:color w:val="auto"/>
                <w:sz w:val="24"/>
                <w:szCs w:val="24"/>
              </w:rPr>
              <w:t>检查评分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5" w:hRule="atLeast"/>
          <w:jc w:val="center"/>
        </w:trPr>
        <w:tc>
          <w:tcPr>
            <w:tcW w:w="5406" w:type="dxa"/>
            <w:gridSpan w:val="3"/>
            <w:vMerge w:val="continue"/>
            <w:vAlign w:val="center"/>
          </w:tcPr>
          <w:p>
            <w:pPr>
              <w:keepNext w:val="0"/>
              <w:keepLines w:val="0"/>
              <w:pageBreakBefore w:val="0"/>
              <w:widowControl w:val="0"/>
              <w:kinsoku/>
              <w:wordWrap w:val="0"/>
              <w:overflowPunct/>
              <w:topLinePunct/>
              <w:autoSpaceDE/>
              <w:autoSpaceDN/>
              <w:bidi w:val="0"/>
              <w:spacing w:line="400" w:lineRule="exact"/>
              <w:ind w:right="0" w:rightChars="0"/>
              <w:jc w:val="center"/>
              <w:rPr>
                <w:rFonts w:hint="eastAsia" w:asciiTheme="majorEastAsia" w:hAnsiTheme="majorEastAsia" w:eastAsiaTheme="majorEastAsia" w:cstheme="majorEastAsia"/>
                <w:bCs/>
                <w:color w:val="auto"/>
                <w:sz w:val="24"/>
                <w:szCs w:val="24"/>
              </w:rPr>
            </w:pPr>
          </w:p>
        </w:tc>
        <w:tc>
          <w:tcPr>
            <w:tcW w:w="816" w:type="dxa"/>
            <w:vMerge w:val="continue"/>
            <w:vAlign w:val="center"/>
          </w:tcPr>
          <w:p>
            <w:pPr>
              <w:keepNext w:val="0"/>
              <w:keepLines w:val="0"/>
              <w:pageBreakBefore w:val="0"/>
              <w:widowControl w:val="0"/>
              <w:kinsoku/>
              <w:wordWrap w:val="0"/>
              <w:overflowPunct/>
              <w:topLinePunct/>
              <w:autoSpaceDE/>
              <w:autoSpaceDN/>
              <w:bidi w:val="0"/>
              <w:spacing w:line="400" w:lineRule="exact"/>
              <w:ind w:right="0" w:rightChars="0"/>
              <w:jc w:val="center"/>
              <w:rPr>
                <w:rFonts w:hint="eastAsia" w:asciiTheme="majorEastAsia" w:hAnsiTheme="majorEastAsia" w:eastAsiaTheme="majorEastAsia" w:cstheme="majorEastAsia"/>
                <w:bCs/>
                <w:color w:val="auto"/>
                <w:sz w:val="24"/>
                <w:szCs w:val="24"/>
              </w:rPr>
            </w:pPr>
          </w:p>
        </w:tc>
        <w:tc>
          <w:tcPr>
            <w:tcW w:w="900" w:type="dxa"/>
            <w:tcBorders>
              <w:bottom w:val="single" w:color="auto" w:sz="4" w:space="0"/>
            </w:tcBorders>
            <w:vAlign w:val="center"/>
          </w:tcPr>
          <w:p>
            <w:pPr>
              <w:keepNext w:val="0"/>
              <w:keepLines w:val="0"/>
              <w:pageBreakBefore w:val="0"/>
              <w:widowControl w:val="0"/>
              <w:kinsoku/>
              <w:wordWrap w:val="0"/>
              <w:overflowPunct/>
              <w:topLinePunct/>
              <w:autoSpaceDE/>
              <w:autoSpaceDN/>
              <w:bidi w:val="0"/>
              <w:spacing w:line="400" w:lineRule="exact"/>
              <w:ind w:right="0" w:rightChars="0"/>
              <w:jc w:val="center"/>
              <w:rPr>
                <w:rFonts w:hint="eastAsia" w:asciiTheme="majorEastAsia" w:hAnsiTheme="majorEastAsia" w:eastAsiaTheme="majorEastAsia" w:cstheme="majorEastAsia"/>
                <w:bCs/>
                <w:color w:val="auto"/>
                <w:sz w:val="24"/>
                <w:szCs w:val="24"/>
              </w:rPr>
            </w:pPr>
            <w:r>
              <w:rPr>
                <w:rFonts w:hint="eastAsia" w:asciiTheme="majorEastAsia" w:hAnsiTheme="majorEastAsia" w:eastAsiaTheme="majorEastAsia" w:cstheme="majorEastAsia"/>
                <w:bCs/>
                <w:color w:val="auto"/>
                <w:sz w:val="24"/>
                <w:szCs w:val="24"/>
              </w:rPr>
              <w:t>得分</w:t>
            </w:r>
          </w:p>
        </w:tc>
        <w:tc>
          <w:tcPr>
            <w:tcW w:w="2126" w:type="dxa"/>
            <w:gridSpan w:val="2"/>
            <w:vAlign w:val="center"/>
          </w:tcPr>
          <w:p>
            <w:pPr>
              <w:keepNext w:val="0"/>
              <w:keepLines w:val="0"/>
              <w:pageBreakBefore w:val="0"/>
              <w:widowControl w:val="0"/>
              <w:kinsoku/>
              <w:wordWrap w:val="0"/>
              <w:overflowPunct/>
              <w:topLinePunct/>
              <w:autoSpaceDE/>
              <w:autoSpaceDN/>
              <w:bidi w:val="0"/>
              <w:spacing w:line="400" w:lineRule="exact"/>
              <w:ind w:right="0" w:rightChars="0"/>
              <w:jc w:val="center"/>
              <w:rPr>
                <w:rFonts w:hint="eastAsia" w:asciiTheme="majorEastAsia" w:hAnsiTheme="majorEastAsia" w:eastAsiaTheme="majorEastAsia" w:cstheme="majorEastAsia"/>
                <w:bCs/>
                <w:color w:val="auto"/>
                <w:sz w:val="24"/>
                <w:szCs w:val="24"/>
              </w:rPr>
            </w:pPr>
            <w:r>
              <w:rPr>
                <w:rFonts w:hint="eastAsia" w:asciiTheme="majorEastAsia" w:hAnsiTheme="majorEastAsia" w:eastAsiaTheme="majorEastAsia" w:cstheme="majorEastAsia"/>
                <w:bCs/>
                <w:color w:val="auto"/>
                <w:sz w:val="24"/>
                <w:szCs w:val="24"/>
              </w:rPr>
              <w:t>扣分理由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3" w:hRule="atLeast"/>
          <w:jc w:val="center"/>
        </w:trPr>
        <w:tc>
          <w:tcPr>
            <w:tcW w:w="9248" w:type="dxa"/>
            <w:gridSpan w:val="7"/>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bCs/>
                <w:color w:val="auto"/>
                <w:sz w:val="24"/>
                <w:szCs w:val="24"/>
              </w:rPr>
              <w:t>一、</w:t>
            </w:r>
            <w:r>
              <w:rPr>
                <w:rFonts w:hint="eastAsia" w:asciiTheme="majorEastAsia" w:hAnsiTheme="majorEastAsia" w:eastAsiaTheme="majorEastAsia" w:cstheme="majorEastAsia"/>
                <w:bCs/>
                <w:color w:val="auto"/>
                <w:sz w:val="24"/>
                <w:szCs w:val="24"/>
                <w:lang w:eastAsia="zh-CN"/>
              </w:rPr>
              <w:t>依法审批方面（</w:t>
            </w:r>
            <w:r>
              <w:rPr>
                <w:rFonts w:hint="eastAsia" w:asciiTheme="majorEastAsia" w:hAnsiTheme="majorEastAsia" w:eastAsiaTheme="majorEastAsia" w:cstheme="majorEastAsia"/>
                <w:bCs/>
                <w:color w:val="auto"/>
                <w:sz w:val="24"/>
                <w:szCs w:val="24"/>
              </w:rPr>
              <w:t>20分</w:t>
            </w:r>
            <w:r>
              <w:rPr>
                <w:rFonts w:hint="eastAsia" w:asciiTheme="majorEastAsia" w:hAnsiTheme="majorEastAsia" w:eastAsiaTheme="majorEastAsia" w:cstheme="majorEastAsia"/>
                <w:bCs/>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exac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经营性公墓建设审批手续完备（5分）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exac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符合土地利用规划和城乡建设规划（5分）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exac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依法取得土地（林地）使用手续（5分）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exac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无擅自变更行政许可内容（5分）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5" w:hRule="atLeast"/>
          <w:jc w:val="center"/>
        </w:trPr>
        <w:tc>
          <w:tcPr>
            <w:tcW w:w="9248" w:type="dxa"/>
            <w:gridSpan w:val="7"/>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Cs/>
                <w:color w:val="auto"/>
                <w:sz w:val="24"/>
                <w:szCs w:val="24"/>
                <w:lang w:eastAsia="zh-CN"/>
              </w:rPr>
            </w:pPr>
            <w:r>
              <w:rPr>
                <w:rFonts w:hint="eastAsia" w:asciiTheme="majorEastAsia" w:hAnsiTheme="majorEastAsia" w:eastAsiaTheme="majorEastAsia" w:cstheme="majorEastAsia"/>
                <w:bCs/>
                <w:color w:val="auto"/>
                <w:sz w:val="24"/>
                <w:szCs w:val="24"/>
                <w:lang w:val="en-US" w:eastAsia="zh-CN"/>
              </w:rPr>
              <w:t>二、规范建设方面（20分）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31" w:hRule="atLeas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墓位建设面积符合要求，无超面积墓位和超高墓碑（5分）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exac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墓区绿化面积达到50%以上（5分）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59" w:hRule="atLeas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花葬、草坪葬、树葬、壁葬等节地生态葬占墓区总面积20%以上（3分）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4" w:hRule="atLeas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rPr>
              <w:t>墓区道路通畅，有停车场和公共厕所</w:t>
            </w:r>
            <w:r>
              <w:rPr>
                <w:rFonts w:hint="eastAsia" w:asciiTheme="majorEastAsia" w:hAnsiTheme="majorEastAsia" w:eastAsiaTheme="majorEastAsia" w:cstheme="majorEastAsia"/>
                <w:color w:val="auto"/>
                <w:sz w:val="24"/>
                <w:szCs w:val="24"/>
                <w:lang w:eastAsia="zh-CN"/>
              </w:rPr>
              <w:t>等附属设施</w:t>
            </w:r>
            <w:r>
              <w:rPr>
                <w:rFonts w:hint="eastAsia" w:asciiTheme="majorEastAsia" w:hAnsiTheme="majorEastAsia" w:eastAsiaTheme="majorEastAsia" w:cstheme="majorEastAsia"/>
                <w:color w:val="auto"/>
                <w:sz w:val="24"/>
                <w:szCs w:val="24"/>
              </w:rPr>
              <w:t>（</w:t>
            </w:r>
            <w:r>
              <w:rPr>
                <w:rFonts w:hint="eastAsia" w:asciiTheme="majorEastAsia" w:hAnsiTheme="majorEastAsia" w:eastAsiaTheme="majorEastAsia" w:cstheme="majorEastAsia"/>
                <w:color w:val="auto"/>
                <w:sz w:val="24"/>
                <w:szCs w:val="24"/>
                <w:lang w:val="en-US" w:eastAsia="zh-CN"/>
              </w:rPr>
              <w:t>3</w:t>
            </w:r>
            <w:r>
              <w:rPr>
                <w:rFonts w:hint="eastAsia" w:asciiTheme="majorEastAsia" w:hAnsiTheme="majorEastAsia" w:eastAsiaTheme="majorEastAsia" w:cstheme="majorEastAsia"/>
                <w:color w:val="auto"/>
                <w:sz w:val="24"/>
                <w:szCs w:val="24"/>
              </w:rPr>
              <w:t>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9" w:hRule="atLeas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墓区环境干净整洁，有较好的观赏景观（4分）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9" w:hRule="atLeast"/>
          <w:jc w:val="center"/>
        </w:trPr>
        <w:tc>
          <w:tcPr>
            <w:tcW w:w="9248" w:type="dxa"/>
            <w:gridSpan w:val="7"/>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Cs/>
                <w:color w:val="auto"/>
                <w:sz w:val="24"/>
                <w:szCs w:val="24"/>
                <w:lang w:val="en-US" w:eastAsia="zh-CN"/>
              </w:rPr>
            </w:pPr>
            <w:r>
              <w:rPr>
                <w:rFonts w:hint="eastAsia" w:asciiTheme="majorEastAsia" w:hAnsiTheme="majorEastAsia" w:eastAsiaTheme="majorEastAsia" w:cstheme="majorEastAsia"/>
                <w:bCs/>
                <w:color w:val="auto"/>
                <w:sz w:val="24"/>
                <w:szCs w:val="24"/>
                <w:lang w:val="en-US" w:eastAsia="zh-CN"/>
              </w:rPr>
              <w:t>三、诚信经营方面（20分）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0" w:hRule="atLeas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严格执行价格管理部门制定的殡葬服务项目收费标准（5分）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96" w:hRule="exac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收费项目和收费标准经行业主管部门审核同意后，向价格主管部门备案（3分）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7" w:hRule="exac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全面落实收费公示和明码标价（4分）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7" w:hRule="exac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使用</w:t>
            </w:r>
            <w:r>
              <w:rPr>
                <w:rFonts w:hint="eastAsia" w:asciiTheme="majorEastAsia" w:hAnsiTheme="majorEastAsia" w:eastAsiaTheme="majorEastAsia" w:cstheme="majorEastAsia"/>
                <w:color w:val="auto"/>
                <w:sz w:val="24"/>
                <w:szCs w:val="24"/>
              </w:rPr>
              <w:t>规范统一</w:t>
            </w:r>
            <w:r>
              <w:rPr>
                <w:rFonts w:hint="eastAsia" w:asciiTheme="majorEastAsia" w:hAnsiTheme="majorEastAsia" w:eastAsiaTheme="majorEastAsia" w:cstheme="majorEastAsia"/>
                <w:color w:val="auto"/>
                <w:sz w:val="24"/>
                <w:szCs w:val="24"/>
                <w:lang w:eastAsia="zh-CN"/>
              </w:rPr>
              <w:t>的</w:t>
            </w:r>
            <w:r>
              <w:rPr>
                <w:rFonts w:hint="eastAsia" w:asciiTheme="majorEastAsia" w:hAnsiTheme="majorEastAsia" w:eastAsiaTheme="majorEastAsia" w:cstheme="majorEastAsia"/>
                <w:color w:val="auto"/>
                <w:sz w:val="24"/>
                <w:szCs w:val="24"/>
              </w:rPr>
              <w:t>墓位使用合同（3分）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27" w:hRule="atLeast"/>
          <w:jc w:val="center"/>
        </w:trPr>
        <w:tc>
          <w:tcPr>
            <w:tcW w:w="5406" w:type="dxa"/>
            <w:gridSpan w:val="3"/>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rPr>
              <w:t>丧葬用品明码标价，无强买强卖、捆绑诱导消费等</w:t>
            </w:r>
            <w:r>
              <w:rPr>
                <w:rFonts w:hint="eastAsia" w:asciiTheme="majorEastAsia" w:hAnsiTheme="majorEastAsia" w:eastAsiaTheme="majorEastAsia" w:cstheme="majorEastAsia"/>
                <w:color w:val="auto"/>
                <w:sz w:val="24"/>
                <w:szCs w:val="24"/>
                <w:lang w:eastAsia="zh-CN"/>
              </w:rPr>
              <w:t>问题</w:t>
            </w:r>
            <w:r>
              <w:rPr>
                <w:rFonts w:hint="eastAsia" w:asciiTheme="majorEastAsia" w:hAnsiTheme="majorEastAsia" w:eastAsiaTheme="majorEastAsia" w:cstheme="majorEastAsia"/>
                <w:color w:val="auto"/>
                <w:sz w:val="24"/>
                <w:szCs w:val="24"/>
              </w:rPr>
              <w:t>（</w:t>
            </w:r>
            <w:r>
              <w:rPr>
                <w:rFonts w:hint="eastAsia" w:asciiTheme="majorEastAsia" w:hAnsiTheme="majorEastAsia" w:eastAsiaTheme="majorEastAsia" w:cstheme="majorEastAsia"/>
                <w:color w:val="auto"/>
                <w:sz w:val="24"/>
                <w:szCs w:val="24"/>
                <w:lang w:val="en-US" w:eastAsia="zh-CN"/>
              </w:rPr>
              <w:t>5</w:t>
            </w:r>
            <w:r>
              <w:rPr>
                <w:rFonts w:hint="eastAsia" w:asciiTheme="majorEastAsia" w:hAnsiTheme="majorEastAsia" w:eastAsiaTheme="majorEastAsia" w:cstheme="majorEastAsia"/>
                <w:color w:val="auto"/>
                <w:sz w:val="24"/>
                <w:szCs w:val="24"/>
              </w:rPr>
              <w:t>分）</w:t>
            </w:r>
          </w:p>
        </w:tc>
        <w:tc>
          <w:tcPr>
            <w:tcW w:w="816"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900" w:type="dxa"/>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2126"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9248" w:type="dxa"/>
            <w:gridSpan w:val="7"/>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bCs/>
                <w:color w:val="auto"/>
                <w:sz w:val="24"/>
                <w:szCs w:val="24"/>
                <w:lang w:val="en-US" w:eastAsia="zh-CN"/>
              </w:rPr>
              <w:t>四、优质服务方面（20分）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54"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rPr>
              <w:t>服务场所清晰公示审批文件</w:t>
            </w:r>
            <w:r>
              <w:rPr>
                <w:rFonts w:hint="eastAsia" w:asciiTheme="majorEastAsia" w:hAnsiTheme="majorEastAsia" w:eastAsiaTheme="majorEastAsia" w:cstheme="majorEastAsia"/>
                <w:color w:val="auto"/>
                <w:sz w:val="24"/>
                <w:szCs w:val="24"/>
                <w:lang w:eastAsia="zh-CN"/>
              </w:rPr>
              <w:t>，</w:t>
            </w:r>
            <w:r>
              <w:rPr>
                <w:rFonts w:hint="eastAsia" w:asciiTheme="majorEastAsia" w:hAnsiTheme="majorEastAsia" w:eastAsiaTheme="majorEastAsia" w:cstheme="majorEastAsia"/>
                <w:color w:val="auto"/>
                <w:sz w:val="24"/>
                <w:szCs w:val="24"/>
              </w:rPr>
              <w:t>墓园</w:t>
            </w:r>
            <w:r>
              <w:rPr>
                <w:rFonts w:hint="eastAsia" w:asciiTheme="majorEastAsia" w:hAnsiTheme="majorEastAsia" w:eastAsiaTheme="majorEastAsia" w:cstheme="majorEastAsia"/>
                <w:color w:val="auto"/>
                <w:sz w:val="24"/>
                <w:szCs w:val="24"/>
                <w:lang w:eastAsia="zh-CN"/>
              </w:rPr>
              <w:t>介绍，服务</w:t>
            </w:r>
            <w:r>
              <w:rPr>
                <w:rFonts w:hint="eastAsia" w:asciiTheme="majorEastAsia" w:hAnsiTheme="majorEastAsia" w:eastAsiaTheme="majorEastAsia" w:cstheme="majorEastAsia"/>
                <w:color w:val="auto"/>
                <w:sz w:val="24"/>
                <w:szCs w:val="24"/>
              </w:rPr>
              <w:t>人员姓名、工牌号及照片，服务项目、产品介绍及价格，主管部门监督电话（</w:t>
            </w:r>
            <w:r>
              <w:rPr>
                <w:rFonts w:hint="eastAsia" w:asciiTheme="majorEastAsia" w:hAnsiTheme="majorEastAsia" w:eastAsiaTheme="majorEastAsia" w:cstheme="majorEastAsia"/>
                <w:color w:val="auto"/>
                <w:sz w:val="24"/>
                <w:szCs w:val="24"/>
                <w:lang w:val="en-US" w:eastAsia="zh-CN"/>
              </w:rPr>
              <w:t>4</w:t>
            </w:r>
            <w:r>
              <w:rPr>
                <w:rFonts w:hint="eastAsia" w:asciiTheme="majorEastAsia" w:hAnsiTheme="majorEastAsia" w:eastAsiaTheme="majorEastAsia" w:cstheme="majorEastAsia"/>
                <w:color w:val="auto"/>
                <w:sz w:val="24"/>
                <w:szCs w:val="24"/>
              </w:rPr>
              <w:t>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b/>
                <w:bCs/>
                <w:color w:val="auto"/>
                <w:sz w:val="24"/>
                <w:szCs w:val="24"/>
              </w:rPr>
            </w:pPr>
          </w:p>
        </w:tc>
        <w:tc>
          <w:tcPr>
            <w:tcW w:w="1152" w:type="dxa"/>
            <w:gridSpan w:val="2"/>
            <w:tcBorders>
              <w:top w:val="single" w:color="auto" w:sz="4" w:space="0"/>
            </w:tcBorders>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p>
        </w:tc>
        <w:tc>
          <w:tcPr>
            <w:tcW w:w="1874" w:type="dxa"/>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24"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有清晰的业务接待工作流程和服务规范，并按照公布的营业时间、服务项目和价格提供服务（</w:t>
            </w:r>
            <w:r>
              <w:rPr>
                <w:rFonts w:hint="eastAsia" w:asciiTheme="majorEastAsia" w:hAnsiTheme="majorEastAsia" w:eastAsiaTheme="majorEastAsia" w:cstheme="majorEastAsia"/>
                <w:color w:val="auto"/>
                <w:sz w:val="24"/>
                <w:szCs w:val="24"/>
                <w:lang w:val="en-US" w:eastAsia="zh-CN"/>
              </w:rPr>
              <w:t>4</w:t>
            </w:r>
            <w:r>
              <w:rPr>
                <w:rFonts w:hint="eastAsia" w:asciiTheme="majorEastAsia" w:hAnsiTheme="majorEastAsia" w:eastAsiaTheme="majorEastAsia" w:cstheme="majorEastAsia"/>
                <w:color w:val="auto"/>
                <w:sz w:val="24"/>
                <w:szCs w:val="24"/>
              </w:rPr>
              <w:t>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center"/>
              <w:textAlignment w:val="auto"/>
              <w:rPr>
                <w:rFonts w:hint="eastAsia" w:asciiTheme="majorEastAsia" w:hAnsiTheme="majorEastAsia" w:eastAsiaTheme="majorEastAsia" w:cstheme="majorEastAsia"/>
                <w:b/>
                <w:bCs/>
                <w:color w:val="auto"/>
                <w:sz w:val="24"/>
                <w:szCs w:val="24"/>
              </w:rPr>
            </w:pPr>
          </w:p>
        </w:tc>
        <w:tc>
          <w:tcPr>
            <w:tcW w:w="1152" w:type="dxa"/>
            <w:gridSpan w:val="2"/>
            <w:tcBorders>
              <w:top w:val="single" w:color="auto" w:sz="4" w:space="0"/>
            </w:tcBorders>
            <w:vAlign w:val="top"/>
          </w:tcPr>
          <w:p>
            <w:pPr>
              <w:keepNext w:val="0"/>
              <w:keepLines w:val="0"/>
              <w:pageBreakBefore w:val="0"/>
              <w:widowControl w:val="0"/>
              <w:kinsoku/>
              <w:wordWrap w:val="0"/>
              <w:overflowPunct/>
              <w:topLinePunct/>
              <w:autoSpaceDE/>
              <w:autoSpaceDN/>
              <w:bidi w:val="0"/>
              <w:adjustRightInd/>
              <w:snapToGrid/>
              <w:spacing w:line="400" w:lineRule="exact"/>
              <w:ind w:right="0" w:rightChars="0"/>
              <w:jc w:val="left"/>
              <w:textAlignment w:val="auto"/>
              <w:rPr>
                <w:rFonts w:hint="eastAsia" w:asciiTheme="majorEastAsia" w:hAnsiTheme="majorEastAsia" w:eastAsiaTheme="majorEastAsia" w:cstheme="majorEastAsia"/>
                <w:color w:val="auto"/>
                <w:sz w:val="24"/>
                <w:szCs w:val="24"/>
                <w:lang w:val="en-US" w:eastAsia="zh-CN"/>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0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24"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both"/>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服务人员</w:t>
            </w:r>
            <w:r>
              <w:rPr>
                <w:rFonts w:hint="eastAsia" w:asciiTheme="majorEastAsia" w:hAnsiTheme="majorEastAsia" w:eastAsiaTheme="majorEastAsia" w:cstheme="majorEastAsia"/>
                <w:color w:val="auto"/>
                <w:sz w:val="24"/>
                <w:szCs w:val="24"/>
                <w:lang w:eastAsia="zh-CN"/>
              </w:rPr>
              <w:t>经过专业培训，</w:t>
            </w:r>
            <w:r>
              <w:rPr>
                <w:rFonts w:hint="eastAsia" w:asciiTheme="majorEastAsia" w:hAnsiTheme="majorEastAsia" w:eastAsiaTheme="majorEastAsia" w:cstheme="majorEastAsia"/>
                <w:color w:val="auto"/>
                <w:sz w:val="24"/>
                <w:szCs w:val="24"/>
              </w:rPr>
              <w:t>着装统一整齐，用语符合规范（</w:t>
            </w:r>
            <w:r>
              <w:rPr>
                <w:rFonts w:hint="eastAsia" w:asciiTheme="majorEastAsia" w:hAnsiTheme="majorEastAsia" w:eastAsiaTheme="majorEastAsia" w:cstheme="majorEastAsia"/>
                <w:color w:val="auto"/>
                <w:sz w:val="24"/>
                <w:szCs w:val="24"/>
                <w:lang w:val="en-US" w:eastAsia="zh-CN"/>
              </w:rPr>
              <w:t>3</w:t>
            </w:r>
            <w:r>
              <w:rPr>
                <w:rFonts w:hint="eastAsia" w:asciiTheme="majorEastAsia" w:hAnsiTheme="majorEastAsia" w:eastAsiaTheme="majorEastAsia" w:cstheme="majorEastAsia"/>
                <w:color w:val="auto"/>
                <w:sz w:val="24"/>
                <w:szCs w:val="24"/>
              </w:rPr>
              <w:t>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center"/>
              <w:textAlignment w:val="auto"/>
              <w:rPr>
                <w:rFonts w:hint="eastAsia" w:asciiTheme="majorEastAsia" w:hAnsiTheme="majorEastAsia" w:eastAsiaTheme="majorEastAsia" w:cstheme="majorEastAsia"/>
                <w:b/>
                <w:bCs/>
                <w:color w:val="auto"/>
                <w:sz w:val="24"/>
                <w:szCs w:val="24"/>
              </w:rPr>
            </w:pPr>
          </w:p>
        </w:tc>
        <w:tc>
          <w:tcPr>
            <w:tcW w:w="1152" w:type="dxa"/>
            <w:gridSpan w:val="2"/>
            <w:tcBorders>
              <w:top w:val="single" w:color="auto" w:sz="4" w:space="0"/>
            </w:tcBorders>
            <w:vAlign w:val="top"/>
          </w:tcPr>
          <w:p>
            <w:pPr>
              <w:keepNext w:val="0"/>
              <w:keepLines w:val="0"/>
              <w:pageBreakBefore w:val="0"/>
              <w:widowControl w:val="0"/>
              <w:kinsoku/>
              <w:wordWrap w:val="0"/>
              <w:overflowPunct/>
              <w:topLinePunct/>
              <w:autoSpaceDE/>
              <w:autoSpaceDN/>
              <w:bidi w:val="0"/>
              <w:adjustRightInd/>
              <w:snapToGrid/>
              <w:spacing w:line="400" w:lineRule="exact"/>
              <w:ind w:right="0" w:rightChars="0"/>
              <w:jc w:val="left"/>
              <w:textAlignment w:val="auto"/>
              <w:rPr>
                <w:rFonts w:hint="eastAsia" w:asciiTheme="majorEastAsia" w:hAnsiTheme="majorEastAsia" w:eastAsiaTheme="majorEastAsia" w:cstheme="majorEastAsia"/>
                <w:color w:val="auto"/>
                <w:sz w:val="24"/>
                <w:szCs w:val="24"/>
                <w:lang w:val="en-US" w:eastAsia="zh-CN"/>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0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20"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spacing w:line="400" w:lineRule="exact"/>
              <w:ind w:right="0" w:rightChars="0"/>
              <w:jc w:val="both"/>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lang w:eastAsia="zh-CN"/>
              </w:rPr>
              <w:t>服务台配有</w:t>
            </w:r>
            <w:r>
              <w:rPr>
                <w:rFonts w:hint="eastAsia" w:asciiTheme="majorEastAsia" w:hAnsiTheme="majorEastAsia" w:eastAsiaTheme="majorEastAsia" w:cstheme="majorEastAsia"/>
                <w:color w:val="auto"/>
                <w:sz w:val="24"/>
                <w:szCs w:val="24"/>
              </w:rPr>
              <w:t>供借用雨具</w:t>
            </w:r>
            <w:r>
              <w:rPr>
                <w:rFonts w:hint="eastAsia" w:asciiTheme="majorEastAsia" w:hAnsiTheme="majorEastAsia" w:eastAsiaTheme="majorEastAsia" w:cstheme="majorEastAsia"/>
                <w:color w:val="auto"/>
                <w:sz w:val="24"/>
                <w:szCs w:val="24"/>
                <w:lang w:eastAsia="zh-CN"/>
              </w:rPr>
              <w:t>、</w:t>
            </w:r>
            <w:r>
              <w:rPr>
                <w:rFonts w:hint="eastAsia" w:asciiTheme="majorEastAsia" w:hAnsiTheme="majorEastAsia" w:eastAsiaTheme="majorEastAsia" w:cstheme="majorEastAsia"/>
                <w:color w:val="auto"/>
                <w:sz w:val="24"/>
                <w:szCs w:val="24"/>
              </w:rPr>
              <w:t>便民医药箱</w:t>
            </w:r>
            <w:r>
              <w:rPr>
                <w:rFonts w:hint="eastAsia" w:asciiTheme="majorEastAsia" w:hAnsiTheme="majorEastAsia" w:eastAsiaTheme="majorEastAsia" w:cstheme="majorEastAsia"/>
                <w:color w:val="auto"/>
                <w:sz w:val="24"/>
                <w:szCs w:val="24"/>
                <w:lang w:eastAsia="zh-CN"/>
              </w:rPr>
              <w:t>、</w:t>
            </w:r>
            <w:r>
              <w:rPr>
                <w:rFonts w:hint="eastAsia" w:asciiTheme="majorEastAsia" w:hAnsiTheme="majorEastAsia" w:eastAsiaTheme="majorEastAsia" w:cstheme="majorEastAsia"/>
                <w:color w:val="auto"/>
                <w:sz w:val="24"/>
                <w:szCs w:val="24"/>
              </w:rPr>
              <w:t>老花镜</w:t>
            </w:r>
            <w:r>
              <w:rPr>
                <w:rFonts w:hint="eastAsia" w:asciiTheme="majorEastAsia" w:hAnsiTheme="majorEastAsia" w:eastAsiaTheme="majorEastAsia" w:cstheme="majorEastAsia"/>
                <w:color w:val="auto"/>
                <w:sz w:val="24"/>
                <w:szCs w:val="24"/>
                <w:lang w:eastAsia="zh-CN"/>
              </w:rPr>
              <w:t>、</w:t>
            </w:r>
            <w:r>
              <w:rPr>
                <w:rFonts w:hint="eastAsia" w:asciiTheme="majorEastAsia" w:hAnsiTheme="majorEastAsia" w:eastAsiaTheme="majorEastAsia" w:cstheme="majorEastAsia"/>
                <w:color w:val="auto"/>
                <w:sz w:val="24"/>
                <w:szCs w:val="24"/>
              </w:rPr>
              <w:t>记录纸、书写笔等（</w:t>
            </w:r>
            <w:r>
              <w:rPr>
                <w:rFonts w:hint="eastAsia" w:asciiTheme="majorEastAsia" w:hAnsiTheme="majorEastAsia" w:eastAsiaTheme="majorEastAsia" w:cstheme="majorEastAsia"/>
                <w:color w:val="auto"/>
                <w:sz w:val="24"/>
                <w:szCs w:val="24"/>
                <w:lang w:val="en-US" w:eastAsia="zh-CN"/>
              </w:rPr>
              <w:t>3</w:t>
            </w:r>
            <w:r>
              <w:rPr>
                <w:rFonts w:hint="eastAsia" w:asciiTheme="majorEastAsia" w:hAnsiTheme="majorEastAsia" w:eastAsiaTheme="majorEastAsia" w:cstheme="majorEastAsia"/>
                <w:color w:val="auto"/>
                <w:sz w:val="24"/>
                <w:szCs w:val="24"/>
              </w:rPr>
              <w:t>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00" w:lineRule="exact"/>
              <w:ind w:right="0" w:rightChars="0"/>
              <w:jc w:val="center"/>
              <w:textAlignment w:val="auto"/>
              <w:rPr>
                <w:rFonts w:hint="eastAsia" w:asciiTheme="majorEastAsia" w:hAnsiTheme="majorEastAsia" w:eastAsiaTheme="majorEastAsia" w:cstheme="majorEastAsia"/>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adjustRightInd/>
              <w:snapToGrid/>
              <w:spacing w:line="400" w:lineRule="exact"/>
              <w:ind w:right="0" w:rightChars="0"/>
              <w:jc w:val="left"/>
              <w:textAlignment w:val="auto"/>
              <w:rPr>
                <w:rFonts w:hint="eastAsia" w:asciiTheme="majorEastAsia" w:hAnsiTheme="majorEastAsia" w:eastAsiaTheme="majorEastAsia" w:cstheme="majorEastAsia"/>
                <w:color w:val="auto"/>
                <w:sz w:val="24"/>
                <w:szCs w:val="24"/>
                <w:lang w:val="en-US" w:eastAsia="zh-CN"/>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0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52"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spacing w:line="400" w:lineRule="exact"/>
              <w:ind w:right="0" w:rightChars="0"/>
              <w:jc w:val="both"/>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rPr>
              <w:t>接待</w:t>
            </w:r>
            <w:r>
              <w:rPr>
                <w:rFonts w:hint="eastAsia" w:asciiTheme="majorEastAsia" w:hAnsiTheme="majorEastAsia" w:eastAsiaTheme="majorEastAsia" w:cstheme="majorEastAsia"/>
                <w:color w:val="auto"/>
                <w:sz w:val="24"/>
                <w:szCs w:val="24"/>
                <w:lang w:eastAsia="zh-CN"/>
              </w:rPr>
              <w:t>大</w:t>
            </w:r>
            <w:r>
              <w:rPr>
                <w:rFonts w:hint="eastAsia" w:asciiTheme="majorEastAsia" w:hAnsiTheme="majorEastAsia" w:eastAsiaTheme="majorEastAsia" w:cstheme="majorEastAsia"/>
                <w:color w:val="auto"/>
                <w:sz w:val="24"/>
                <w:szCs w:val="24"/>
              </w:rPr>
              <w:t>厅配有客户休息座椅，饮水</w:t>
            </w:r>
            <w:r>
              <w:rPr>
                <w:rFonts w:hint="eastAsia" w:asciiTheme="majorEastAsia" w:hAnsiTheme="majorEastAsia" w:eastAsiaTheme="majorEastAsia" w:cstheme="majorEastAsia"/>
                <w:color w:val="auto"/>
                <w:sz w:val="24"/>
                <w:szCs w:val="24"/>
                <w:lang w:eastAsia="zh-CN"/>
              </w:rPr>
              <w:t>机</w:t>
            </w:r>
            <w:r>
              <w:rPr>
                <w:rFonts w:hint="eastAsia" w:asciiTheme="majorEastAsia" w:hAnsiTheme="majorEastAsia" w:eastAsiaTheme="majorEastAsia" w:cstheme="majorEastAsia"/>
                <w:color w:val="auto"/>
                <w:sz w:val="24"/>
                <w:szCs w:val="24"/>
              </w:rPr>
              <w:t>，殡葬法规和文明殡葬宣传品，客户意见簿（</w:t>
            </w:r>
            <w:r>
              <w:rPr>
                <w:rFonts w:hint="eastAsia" w:asciiTheme="majorEastAsia" w:hAnsiTheme="majorEastAsia" w:eastAsiaTheme="majorEastAsia" w:cstheme="majorEastAsia"/>
                <w:color w:val="auto"/>
                <w:sz w:val="24"/>
                <w:szCs w:val="24"/>
                <w:lang w:val="en-US" w:eastAsia="zh-CN"/>
              </w:rPr>
              <w:t>3</w:t>
            </w:r>
            <w:r>
              <w:rPr>
                <w:rFonts w:hint="eastAsia" w:asciiTheme="majorEastAsia" w:hAnsiTheme="majorEastAsia" w:eastAsiaTheme="majorEastAsia" w:cstheme="majorEastAsia"/>
                <w:color w:val="auto"/>
                <w:sz w:val="24"/>
                <w:szCs w:val="24"/>
              </w:rPr>
              <w:t>分）</w:t>
            </w:r>
          </w:p>
        </w:tc>
        <w:tc>
          <w:tcPr>
            <w:tcW w:w="823" w:type="dxa"/>
            <w:gridSpan w:val="2"/>
            <w:vAlign w:val="center"/>
          </w:tcPr>
          <w:p>
            <w:pPr>
              <w:keepNext w:val="0"/>
              <w:keepLines w:val="0"/>
              <w:pageBreakBefore w:val="0"/>
              <w:widowControl w:val="0"/>
              <w:kinsoku/>
              <w:wordWrap w:val="0"/>
              <w:overflowPunct/>
              <w:topLinePunct/>
              <w:autoSpaceDE/>
              <w:autoSpaceDN/>
              <w:bidi w:val="0"/>
              <w:spacing w:line="400" w:lineRule="exact"/>
              <w:ind w:right="0" w:rightChars="0"/>
              <w:jc w:val="center"/>
              <w:rPr>
                <w:rFonts w:hint="eastAsia" w:asciiTheme="majorEastAsia" w:hAnsiTheme="majorEastAsia" w:eastAsiaTheme="majorEastAsia" w:cstheme="majorEastAsia"/>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lang w:val="en-US" w:eastAsia="zh-CN"/>
              </w:rPr>
            </w:pPr>
          </w:p>
        </w:tc>
        <w:tc>
          <w:tcPr>
            <w:tcW w:w="1874" w:type="dxa"/>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4"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spacing w:line="420" w:lineRule="exact"/>
              <w:ind w:right="0" w:rightChars="0"/>
              <w:jc w:val="both"/>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rPr>
              <w:t>安葬服务准备充分，落葬仪式流程设计符合标</w:t>
            </w:r>
            <w:r>
              <w:rPr>
                <w:rFonts w:hint="eastAsia" w:asciiTheme="majorEastAsia" w:hAnsiTheme="majorEastAsia" w:eastAsiaTheme="majorEastAsia" w:cstheme="majorEastAsia"/>
                <w:color w:val="auto"/>
                <w:sz w:val="24"/>
                <w:szCs w:val="24"/>
                <w:lang w:eastAsia="zh-CN"/>
              </w:rPr>
              <w:t>准</w:t>
            </w:r>
            <w:r>
              <w:rPr>
                <w:rFonts w:hint="eastAsia" w:asciiTheme="majorEastAsia" w:hAnsiTheme="majorEastAsia" w:eastAsiaTheme="majorEastAsia" w:cstheme="majorEastAsia"/>
                <w:color w:val="auto"/>
                <w:sz w:val="24"/>
                <w:szCs w:val="24"/>
              </w:rPr>
              <w:t>要求（</w:t>
            </w:r>
            <w:r>
              <w:rPr>
                <w:rFonts w:hint="eastAsia" w:asciiTheme="majorEastAsia" w:hAnsiTheme="majorEastAsia" w:eastAsiaTheme="majorEastAsia" w:cstheme="majorEastAsia"/>
                <w:color w:val="auto"/>
                <w:sz w:val="24"/>
                <w:szCs w:val="24"/>
                <w:lang w:val="en-US" w:eastAsia="zh-CN"/>
              </w:rPr>
              <w:t>3</w:t>
            </w:r>
            <w:r>
              <w:rPr>
                <w:rFonts w:hint="eastAsia" w:asciiTheme="majorEastAsia" w:hAnsiTheme="majorEastAsia" w:eastAsiaTheme="majorEastAsia" w:cstheme="majorEastAsia"/>
                <w:color w:val="auto"/>
                <w:sz w:val="24"/>
                <w:szCs w:val="24"/>
              </w:rPr>
              <w:t>分）</w:t>
            </w:r>
          </w:p>
        </w:tc>
        <w:tc>
          <w:tcPr>
            <w:tcW w:w="823" w:type="dxa"/>
            <w:gridSpan w:val="2"/>
            <w:vAlign w:val="center"/>
          </w:tcPr>
          <w:p>
            <w:pPr>
              <w:keepNext w:val="0"/>
              <w:keepLines w:val="0"/>
              <w:pageBreakBefore w:val="0"/>
              <w:widowControl w:val="0"/>
              <w:kinsoku/>
              <w:wordWrap w:val="0"/>
              <w:overflowPunct/>
              <w:topLinePunct/>
              <w:autoSpaceDE/>
              <w:autoSpaceDN/>
              <w:bidi w:val="0"/>
              <w:spacing w:line="400" w:lineRule="exact"/>
              <w:ind w:right="0" w:rightChars="0"/>
              <w:jc w:val="center"/>
              <w:rPr>
                <w:rFonts w:hint="eastAsia" w:asciiTheme="majorEastAsia" w:hAnsiTheme="majorEastAsia" w:eastAsiaTheme="majorEastAsia" w:cstheme="majorEastAsia"/>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lang w:val="en-US" w:eastAsia="zh-CN"/>
              </w:rPr>
            </w:pPr>
          </w:p>
        </w:tc>
        <w:tc>
          <w:tcPr>
            <w:tcW w:w="1874" w:type="dxa"/>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9" w:hRule="atLeast"/>
          <w:jc w:val="center"/>
        </w:trPr>
        <w:tc>
          <w:tcPr>
            <w:tcW w:w="9248" w:type="dxa"/>
            <w:gridSpan w:val="7"/>
            <w:vAlign w:val="center"/>
          </w:tcPr>
          <w:p>
            <w:pPr>
              <w:keepNext w:val="0"/>
              <w:keepLines w:val="0"/>
              <w:pageBreakBefore w:val="0"/>
              <w:widowControl w:val="0"/>
              <w:kinsoku/>
              <w:wordWrap w:val="0"/>
              <w:overflowPunct/>
              <w:topLinePunct/>
              <w:autoSpaceDE/>
              <w:autoSpaceDN/>
              <w:bidi w:val="0"/>
              <w:spacing w:line="400" w:lineRule="exact"/>
              <w:ind w:right="0" w:rightChars="0"/>
              <w:jc w:val="both"/>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bCs/>
                <w:color w:val="auto"/>
                <w:sz w:val="24"/>
                <w:szCs w:val="24"/>
                <w:lang w:eastAsia="zh-CN"/>
              </w:rPr>
              <w:t>五</w:t>
            </w:r>
            <w:r>
              <w:rPr>
                <w:rFonts w:hint="eastAsia" w:asciiTheme="majorEastAsia" w:hAnsiTheme="majorEastAsia" w:eastAsiaTheme="majorEastAsia" w:cstheme="majorEastAsia"/>
                <w:bCs/>
                <w:color w:val="auto"/>
                <w:sz w:val="24"/>
                <w:szCs w:val="24"/>
              </w:rPr>
              <w:t>、</w:t>
            </w:r>
            <w:r>
              <w:rPr>
                <w:rFonts w:hint="eastAsia" w:asciiTheme="majorEastAsia" w:hAnsiTheme="majorEastAsia" w:eastAsiaTheme="majorEastAsia" w:cstheme="majorEastAsia"/>
                <w:bCs/>
                <w:color w:val="auto"/>
                <w:sz w:val="24"/>
                <w:szCs w:val="24"/>
                <w:lang w:eastAsia="zh-CN"/>
              </w:rPr>
              <w:t>运营</w:t>
            </w:r>
            <w:r>
              <w:rPr>
                <w:rFonts w:hint="eastAsia" w:asciiTheme="majorEastAsia" w:hAnsiTheme="majorEastAsia" w:eastAsiaTheme="majorEastAsia" w:cstheme="majorEastAsia"/>
                <w:bCs/>
                <w:color w:val="auto"/>
                <w:sz w:val="24"/>
                <w:szCs w:val="24"/>
              </w:rPr>
              <w:t>管理</w:t>
            </w:r>
            <w:r>
              <w:rPr>
                <w:rFonts w:hint="eastAsia" w:asciiTheme="majorEastAsia" w:hAnsiTheme="majorEastAsia" w:eastAsiaTheme="majorEastAsia" w:cstheme="majorEastAsia"/>
                <w:bCs/>
                <w:color w:val="auto"/>
                <w:sz w:val="24"/>
                <w:szCs w:val="24"/>
                <w:lang w:eastAsia="zh-CN"/>
              </w:rPr>
              <w:t>方面</w:t>
            </w:r>
            <w:r>
              <w:rPr>
                <w:rFonts w:hint="eastAsia" w:asciiTheme="majorEastAsia" w:hAnsiTheme="majorEastAsia" w:eastAsiaTheme="majorEastAsia" w:cstheme="majorEastAsia"/>
                <w:bCs/>
                <w:color w:val="auto"/>
                <w:sz w:val="24"/>
                <w:szCs w:val="24"/>
              </w:rPr>
              <w:t>（</w:t>
            </w:r>
            <w:r>
              <w:rPr>
                <w:rFonts w:hint="eastAsia" w:asciiTheme="majorEastAsia" w:hAnsiTheme="majorEastAsia" w:eastAsiaTheme="majorEastAsia" w:cstheme="majorEastAsia"/>
                <w:bCs/>
                <w:color w:val="auto"/>
                <w:sz w:val="24"/>
                <w:szCs w:val="24"/>
                <w:lang w:val="en-US" w:eastAsia="zh-CN"/>
              </w:rPr>
              <w:t>20</w:t>
            </w:r>
            <w:r>
              <w:rPr>
                <w:rFonts w:hint="eastAsia" w:asciiTheme="majorEastAsia" w:hAnsiTheme="majorEastAsia" w:eastAsiaTheme="majorEastAsia" w:cstheme="majorEastAsia"/>
                <w:bCs/>
                <w:color w:val="auto"/>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72"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spacing w:line="390" w:lineRule="exact"/>
              <w:ind w:right="0" w:rightChars="0"/>
              <w:jc w:val="both"/>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rPr>
              <w:t>各岗位职责明确，规章制度健全，工作人员挂牌上岗（</w:t>
            </w:r>
            <w:r>
              <w:rPr>
                <w:rFonts w:hint="eastAsia" w:asciiTheme="majorEastAsia" w:hAnsiTheme="majorEastAsia" w:eastAsiaTheme="majorEastAsia" w:cstheme="majorEastAsia"/>
                <w:color w:val="auto"/>
                <w:sz w:val="24"/>
                <w:szCs w:val="24"/>
                <w:lang w:val="en-US" w:eastAsia="zh-CN"/>
              </w:rPr>
              <w:t>3</w:t>
            </w:r>
            <w:r>
              <w:rPr>
                <w:rFonts w:hint="eastAsia" w:asciiTheme="majorEastAsia" w:hAnsiTheme="majorEastAsia" w:eastAsiaTheme="majorEastAsia" w:cstheme="majorEastAsia"/>
                <w:color w:val="auto"/>
                <w:sz w:val="24"/>
                <w:szCs w:val="24"/>
              </w:rPr>
              <w:t>分）</w:t>
            </w:r>
          </w:p>
        </w:tc>
        <w:tc>
          <w:tcPr>
            <w:tcW w:w="823" w:type="dxa"/>
            <w:gridSpan w:val="2"/>
            <w:vAlign w:val="center"/>
          </w:tcPr>
          <w:p>
            <w:pPr>
              <w:keepNext w:val="0"/>
              <w:keepLines w:val="0"/>
              <w:pageBreakBefore w:val="0"/>
              <w:widowControl w:val="0"/>
              <w:kinsoku/>
              <w:wordWrap w:val="0"/>
              <w:overflowPunct/>
              <w:topLinePunct/>
              <w:autoSpaceDE/>
              <w:autoSpaceDN/>
              <w:bidi w:val="0"/>
              <w:spacing w:line="400" w:lineRule="exact"/>
              <w:ind w:right="0" w:rightChars="0"/>
              <w:jc w:val="center"/>
              <w:rPr>
                <w:rFonts w:hint="eastAsia" w:asciiTheme="majorEastAsia" w:hAnsiTheme="majorEastAsia" w:eastAsiaTheme="majorEastAsia" w:cstheme="majorEastAsia"/>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lang w:val="en-US" w:eastAsia="zh-CN"/>
              </w:rPr>
            </w:pPr>
          </w:p>
        </w:tc>
        <w:tc>
          <w:tcPr>
            <w:tcW w:w="1874" w:type="dxa"/>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9"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spacing w:line="400" w:lineRule="exact"/>
              <w:ind w:right="0" w:rightChars="0"/>
              <w:jc w:val="both"/>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lang w:eastAsia="zh-CN"/>
              </w:rPr>
              <w:t>应急预案完备，按规定开展应急演练（</w:t>
            </w:r>
            <w:r>
              <w:rPr>
                <w:rFonts w:hint="eastAsia" w:asciiTheme="majorEastAsia" w:hAnsiTheme="majorEastAsia" w:eastAsiaTheme="majorEastAsia" w:cstheme="majorEastAsia"/>
                <w:color w:val="auto"/>
                <w:sz w:val="24"/>
                <w:szCs w:val="24"/>
                <w:lang w:val="en-US" w:eastAsia="zh-CN"/>
              </w:rPr>
              <w:t>2分</w:t>
            </w:r>
            <w:r>
              <w:rPr>
                <w:rFonts w:hint="eastAsia" w:asciiTheme="majorEastAsia" w:hAnsiTheme="majorEastAsia" w:eastAsiaTheme="majorEastAsia" w:cstheme="majorEastAsia"/>
                <w:color w:val="auto"/>
                <w:sz w:val="24"/>
                <w:szCs w:val="24"/>
                <w:lang w:eastAsia="zh-CN"/>
              </w:rPr>
              <w:t>）</w:t>
            </w:r>
          </w:p>
        </w:tc>
        <w:tc>
          <w:tcPr>
            <w:tcW w:w="823" w:type="dxa"/>
            <w:gridSpan w:val="2"/>
            <w:vAlign w:val="center"/>
          </w:tcPr>
          <w:p>
            <w:pPr>
              <w:keepNext w:val="0"/>
              <w:keepLines w:val="0"/>
              <w:pageBreakBefore w:val="0"/>
              <w:widowControl w:val="0"/>
              <w:kinsoku/>
              <w:wordWrap w:val="0"/>
              <w:overflowPunct/>
              <w:topLinePunct/>
              <w:autoSpaceDE/>
              <w:autoSpaceDN/>
              <w:bidi w:val="0"/>
              <w:spacing w:line="390" w:lineRule="exact"/>
              <w:ind w:right="0" w:rightChars="0"/>
              <w:jc w:val="center"/>
              <w:rPr>
                <w:rFonts w:hint="eastAsia" w:asciiTheme="majorEastAsia" w:hAnsiTheme="majorEastAsia" w:eastAsiaTheme="majorEastAsia" w:cstheme="majorEastAsia"/>
                <w:color w:val="auto"/>
                <w:kern w:val="2"/>
                <w:sz w:val="24"/>
                <w:szCs w:val="24"/>
                <w:lang w:val="en-US" w:eastAsia="zh-CN" w:bidi="ar-SA"/>
              </w:rPr>
            </w:pPr>
          </w:p>
        </w:tc>
        <w:tc>
          <w:tcPr>
            <w:tcW w:w="1152" w:type="dxa"/>
            <w:gridSpan w:val="2"/>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lang w:val="en-US" w:eastAsia="zh-CN"/>
              </w:rPr>
            </w:pPr>
          </w:p>
        </w:tc>
        <w:tc>
          <w:tcPr>
            <w:tcW w:w="1874" w:type="dxa"/>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09"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spacing w:line="420" w:lineRule="exact"/>
              <w:ind w:right="0" w:rightChars="0"/>
              <w:jc w:val="both"/>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kern w:val="2"/>
                <w:sz w:val="24"/>
                <w:szCs w:val="24"/>
                <w:lang w:val="en-US" w:eastAsia="zh-CN" w:bidi="ar-SA"/>
              </w:rPr>
              <w:t>定期开展安全隐患排查，</w:t>
            </w:r>
            <w:r>
              <w:rPr>
                <w:rFonts w:hint="eastAsia" w:asciiTheme="majorEastAsia" w:hAnsiTheme="majorEastAsia" w:eastAsiaTheme="majorEastAsia" w:cstheme="majorEastAsia"/>
                <w:color w:val="auto"/>
                <w:sz w:val="24"/>
                <w:szCs w:val="24"/>
              </w:rPr>
              <w:t>安全设施设备运行正常，危险区域设置</w:t>
            </w:r>
            <w:r>
              <w:rPr>
                <w:rFonts w:hint="eastAsia" w:asciiTheme="majorEastAsia" w:hAnsiTheme="majorEastAsia" w:eastAsiaTheme="majorEastAsia" w:cstheme="majorEastAsia"/>
                <w:color w:val="auto"/>
                <w:sz w:val="24"/>
                <w:szCs w:val="24"/>
                <w:lang w:eastAsia="zh-CN"/>
              </w:rPr>
              <w:t>警示</w:t>
            </w:r>
            <w:r>
              <w:rPr>
                <w:rFonts w:hint="eastAsia" w:asciiTheme="majorEastAsia" w:hAnsiTheme="majorEastAsia" w:eastAsiaTheme="majorEastAsia" w:cstheme="majorEastAsia"/>
                <w:color w:val="auto"/>
                <w:sz w:val="24"/>
                <w:szCs w:val="24"/>
              </w:rPr>
              <w:t>标志</w:t>
            </w:r>
            <w:r>
              <w:rPr>
                <w:rFonts w:hint="eastAsia" w:asciiTheme="majorEastAsia" w:hAnsiTheme="majorEastAsia" w:eastAsiaTheme="majorEastAsia" w:cstheme="majorEastAsia"/>
                <w:color w:val="auto"/>
                <w:sz w:val="24"/>
                <w:szCs w:val="24"/>
                <w:lang w:eastAsia="zh-CN"/>
              </w:rPr>
              <w:t>（</w:t>
            </w:r>
            <w:r>
              <w:rPr>
                <w:rFonts w:hint="eastAsia" w:asciiTheme="majorEastAsia" w:hAnsiTheme="majorEastAsia" w:eastAsiaTheme="majorEastAsia" w:cstheme="majorEastAsia"/>
                <w:color w:val="auto"/>
                <w:sz w:val="24"/>
                <w:szCs w:val="24"/>
                <w:lang w:val="en-US" w:eastAsia="zh-CN"/>
              </w:rPr>
              <w:t>3分</w:t>
            </w:r>
            <w:r>
              <w:rPr>
                <w:rFonts w:hint="eastAsia" w:asciiTheme="majorEastAsia" w:hAnsiTheme="majorEastAsia" w:eastAsiaTheme="majorEastAsia" w:cstheme="majorEastAsia"/>
                <w:color w:val="auto"/>
                <w:sz w:val="24"/>
                <w:szCs w:val="24"/>
                <w:lang w:eastAsia="zh-CN"/>
              </w:rPr>
              <w:t>）</w:t>
            </w:r>
          </w:p>
        </w:tc>
        <w:tc>
          <w:tcPr>
            <w:tcW w:w="823" w:type="dxa"/>
            <w:gridSpan w:val="2"/>
            <w:vAlign w:val="center"/>
          </w:tcPr>
          <w:p>
            <w:pPr>
              <w:keepNext w:val="0"/>
              <w:keepLines w:val="0"/>
              <w:pageBreakBefore w:val="0"/>
              <w:widowControl w:val="0"/>
              <w:kinsoku/>
              <w:wordWrap w:val="0"/>
              <w:overflowPunct/>
              <w:topLinePunct/>
              <w:autoSpaceDE/>
              <w:autoSpaceDN/>
              <w:bidi w:val="0"/>
              <w:spacing w:line="400" w:lineRule="exact"/>
              <w:ind w:right="0" w:rightChars="0"/>
              <w:jc w:val="center"/>
              <w:rPr>
                <w:rFonts w:hint="eastAsia" w:asciiTheme="majorEastAsia" w:hAnsiTheme="majorEastAsia" w:eastAsiaTheme="majorEastAsia" w:cstheme="majorEastAsia"/>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lang w:val="en-US" w:eastAsia="zh-CN"/>
              </w:rPr>
            </w:pPr>
          </w:p>
        </w:tc>
        <w:tc>
          <w:tcPr>
            <w:tcW w:w="1874" w:type="dxa"/>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9"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spacing w:line="420" w:lineRule="exact"/>
              <w:ind w:right="0" w:rightChars="0"/>
              <w:jc w:val="both"/>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rPr>
              <w:t>业务档案管理</w:t>
            </w:r>
            <w:r>
              <w:rPr>
                <w:rFonts w:hint="eastAsia" w:asciiTheme="majorEastAsia" w:hAnsiTheme="majorEastAsia" w:eastAsiaTheme="majorEastAsia" w:cstheme="majorEastAsia"/>
                <w:color w:val="auto"/>
                <w:sz w:val="24"/>
                <w:szCs w:val="24"/>
                <w:lang w:eastAsia="zh-CN"/>
              </w:rPr>
              <w:t>规范，</w:t>
            </w:r>
            <w:r>
              <w:rPr>
                <w:rFonts w:hint="eastAsia" w:asciiTheme="majorEastAsia" w:hAnsiTheme="majorEastAsia" w:eastAsiaTheme="majorEastAsia" w:cstheme="majorEastAsia"/>
                <w:color w:val="auto"/>
                <w:sz w:val="24"/>
                <w:szCs w:val="24"/>
              </w:rPr>
              <w:t>资料齐全（</w:t>
            </w:r>
            <w:r>
              <w:rPr>
                <w:rFonts w:hint="eastAsia" w:asciiTheme="majorEastAsia" w:hAnsiTheme="majorEastAsia" w:eastAsiaTheme="majorEastAsia" w:cstheme="majorEastAsia"/>
                <w:color w:val="auto"/>
                <w:sz w:val="24"/>
                <w:szCs w:val="24"/>
                <w:lang w:val="en-US" w:eastAsia="zh-CN"/>
              </w:rPr>
              <w:t>3</w:t>
            </w:r>
            <w:r>
              <w:rPr>
                <w:rFonts w:hint="eastAsia" w:asciiTheme="majorEastAsia" w:hAnsiTheme="majorEastAsia" w:eastAsiaTheme="majorEastAsia" w:cstheme="majorEastAsia"/>
                <w:color w:val="auto"/>
                <w:sz w:val="24"/>
                <w:szCs w:val="24"/>
              </w:rPr>
              <w:t>分）</w:t>
            </w:r>
          </w:p>
        </w:tc>
        <w:tc>
          <w:tcPr>
            <w:tcW w:w="823" w:type="dxa"/>
            <w:gridSpan w:val="2"/>
            <w:vAlign w:val="center"/>
          </w:tcPr>
          <w:p>
            <w:pPr>
              <w:keepNext w:val="0"/>
              <w:keepLines w:val="0"/>
              <w:pageBreakBefore w:val="0"/>
              <w:widowControl w:val="0"/>
              <w:kinsoku/>
              <w:wordWrap w:val="0"/>
              <w:overflowPunct/>
              <w:topLinePunct/>
              <w:autoSpaceDE/>
              <w:autoSpaceDN/>
              <w:bidi w:val="0"/>
              <w:spacing w:line="400" w:lineRule="exact"/>
              <w:ind w:right="0" w:rightChars="0"/>
              <w:jc w:val="center"/>
              <w:rPr>
                <w:rFonts w:hint="eastAsia" w:asciiTheme="majorEastAsia" w:hAnsiTheme="majorEastAsia" w:eastAsiaTheme="majorEastAsia" w:cstheme="majorEastAsia"/>
                <w:color w:val="auto"/>
                <w:kern w:val="2"/>
                <w:sz w:val="24"/>
                <w:szCs w:val="24"/>
                <w:lang w:val="en-US" w:eastAsia="zh-CN" w:bidi="ar-SA"/>
              </w:rPr>
            </w:pPr>
          </w:p>
        </w:tc>
        <w:tc>
          <w:tcPr>
            <w:tcW w:w="1152" w:type="dxa"/>
            <w:gridSpan w:val="2"/>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lang w:val="en-US" w:eastAsia="zh-CN"/>
              </w:rPr>
            </w:pPr>
          </w:p>
        </w:tc>
        <w:tc>
          <w:tcPr>
            <w:tcW w:w="1874" w:type="dxa"/>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3"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spacing w:line="420" w:lineRule="exact"/>
              <w:ind w:right="0" w:rightChars="0"/>
              <w:jc w:val="both"/>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rPr>
              <w:t>财务管理、财务账册规范（</w:t>
            </w:r>
            <w:r>
              <w:rPr>
                <w:rFonts w:hint="eastAsia" w:asciiTheme="majorEastAsia" w:hAnsiTheme="majorEastAsia" w:eastAsiaTheme="majorEastAsia" w:cstheme="majorEastAsia"/>
                <w:color w:val="auto"/>
                <w:sz w:val="24"/>
                <w:szCs w:val="24"/>
                <w:lang w:val="en-US" w:eastAsia="zh-CN"/>
              </w:rPr>
              <w:t>3</w:t>
            </w:r>
            <w:r>
              <w:rPr>
                <w:rFonts w:hint="eastAsia" w:asciiTheme="majorEastAsia" w:hAnsiTheme="majorEastAsia" w:eastAsiaTheme="majorEastAsia" w:cstheme="majorEastAsia"/>
                <w:color w:val="auto"/>
                <w:sz w:val="24"/>
                <w:szCs w:val="24"/>
              </w:rPr>
              <w:t>分）</w:t>
            </w:r>
          </w:p>
        </w:tc>
        <w:tc>
          <w:tcPr>
            <w:tcW w:w="823" w:type="dxa"/>
            <w:gridSpan w:val="2"/>
            <w:vAlign w:val="center"/>
          </w:tcPr>
          <w:p>
            <w:pPr>
              <w:keepNext w:val="0"/>
              <w:keepLines w:val="0"/>
              <w:pageBreakBefore w:val="0"/>
              <w:widowControl w:val="0"/>
              <w:kinsoku/>
              <w:wordWrap w:val="0"/>
              <w:overflowPunct/>
              <w:topLinePunct/>
              <w:autoSpaceDE/>
              <w:autoSpaceDN/>
              <w:bidi w:val="0"/>
              <w:spacing w:line="400" w:lineRule="exact"/>
              <w:ind w:right="0" w:rightChars="0"/>
              <w:jc w:val="center"/>
              <w:rPr>
                <w:rFonts w:hint="eastAsia" w:asciiTheme="majorEastAsia" w:hAnsiTheme="majorEastAsia" w:eastAsiaTheme="majorEastAsia" w:cstheme="majorEastAsia"/>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lang w:val="en-US" w:eastAsia="zh-CN"/>
              </w:rPr>
            </w:pPr>
          </w:p>
        </w:tc>
        <w:tc>
          <w:tcPr>
            <w:tcW w:w="1874" w:type="dxa"/>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42"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spacing w:line="390" w:lineRule="exact"/>
              <w:ind w:right="0" w:rightChars="0"/>
              <w:jc w:val="both"/>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rPr>
              <w:t>组织开展</w:t>
            </w:r>
            <w:r>
              <w:rPr>
                <w:rFonts w:hint="eastAsia" w:asciiTheme="majorEastAsia" w:hAnsiTheme="majorEastAsia" w:eastAsiaTheme="majorEastAsia" w:cstheme="majorEastAsia"/>
                <w:color w:val="auto"/>
                <w:sz w:val="24"/>
                <w:szCs w:val="24"/>
                <w:lang w:eastAsia="zh-CN"/>
              </w:rPr>
              <w:t>理论</w:t>
            </w:r>
            <w:r>
              <w:rPr>
                <w:rFonts w:hint="eastAsia" w:asciiTheme="majorEastAsia" w:hAnsiTheme="majorEastAsia" w:eastAsiaTheme="majorEastAsia" w:cstheme="majorEastAsia"/>
                <w:color w:val="auto"/>
                <w:sz w:val="24"/>
                <w:szCs w:val="24"/>
              </w:rPr>
              <w:t>学习和业务培训，每年不少于</w:t>
            </w:r>
            <w:r>
              <w:rPr>
                <w:rFonts w:hint="eastAsia" w:asciiTheme="majorEastAsia" w:hAnsiTheme="majorEastAsia" w:eastAsiaTheme="majorEastAsia" w:cstheme="majorEastAsia"/>
                <w:color w:val="auto"/>
                <w:sz w:val="24"/>
                <w:szCs w:val="24"/>
                <w:lang w:val="en-US" w:eastAsia="zh-CN"/>
              </w:rPr>
              <w:t>6</w:t>
            </w:r>
            <w:r>
              <w:rPr>
                <w:rFonts w:hint="eastAsia" w:asciiTheme="majorEastAsia" w:hAnsiTheme="majorEastAsia" w:eastAsiaTheme="majorEastAsia" w:cstheme="majorEastAsia"/>
                <w:color w:val="auto"/>
                <w:sz w:val="24"/>
                <w:szCs w:val="24"/>
              </w:rPr>
              <w:t>次，有相关资料记录（</w:t>
            </w:r>
            <w:r>
              <w:rPr>
                <w:rFonts w:hint="eastAsia" w:asciiTheme="majorEastAsia" w:hAnsiTheme="majorEastAsia" w:eastAsiaTheme="majorEastAsia" w:cstheme="majorEastAsia"/>
                <w:color w:val="auto"/>
                <w:sz w:val="24"/>
                <w:szCs w:val="24"/>
                <w:lang w:val="en-US" w:eastAsia="zh-CN"/>
              </w:rPr>
              <w:t>6</w:t>
            </w:r>
            <w:r>
              <w:rPr>
                <w:rFonts w:hint="eastAsia" w:asciiTheme="majorEastAsia" w:hAnsiTheme="majorEastAsia" w:eastAsiaTheme="majorEastAsia" w:cstheme="majorEastAsia"/>
                <w:color w:val="auto"/>
                <w:sz w:val="24"/>
                <w:szCs w:val="24"/>
              </w:rPr>
              <w:t>分）</w:t>
            </w:r>
          </w:p>
        </w:tc>
        <w:tc>
          <w:tcPr>
            <w:tcW w:w="823" w:type="dxa"/>
            <w:gridSpan w:val="2"/>
            <w:vAlign w:val="center"/>
          </w:tcPr>
          <w:p>
            <w:pPr>
              <w:keepNext w:val="0"/>
              <w:keepLines w:val="0"/>
              <w:pageBreakBefore w:val="0"/>
              <w:widowControl w:val="0"/>
              <w:kinsoku/>
              <w:wordWrap w:val="0"/>
              <w:overflowPunct/>
              <w:topLinePunct/>
              <w:autoSpaceDE/>
              <w:autoSpaceDN/>
              <w:bidi w:val="0"/>
              <w:spacing w:line="400" w:lineRule="exact"/>
              <w:ind w:right="0" w:rightChars="0"/>
              <w:jc w:val="center"/>
              <w:rPr>
                <w:rFonts w:hint="eastAsia" w:asciiTheme="majorEastAsia" w:hAnsiTheme="majorEastAsia" w:eastAsiaTheme="majorEastAsia" w:cstheme="majorEastAsia"/>
                <w:color w:val="auto"/>
                <w:sz w:val="24"/>
                <w:szCs w:val="24"/>
                <w:lang w:val="en-US" w:eastAsia="zh-CN"/>
              </w:rPr>
            </w:pPr>
          </w:p>
        </w:tc>
        <w:tc>
          <w:tcPr>
            <w:tcW w:w="1152" w:type="dxa"/>
            <w:gridSpan w:val="2"/>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lang w:val="en-US" w:eastAsia="zh-CN"/>
              </w:rPr>
            </w:pPr>
          </w:p>
        </w:tc>
        <w:tc>
          <w:tcPr>
            <w:tcW w:w="1874" w:type="dxa"/>
            <w:vAlign w:val="top"/>
          </w:tcPr>
          <w:p>
            <w:pPr>
              <w:keepNext w:val="0"/>
              <w:keepLines w:val="0"/>
              <w:pageBreakBefore w:val="0"/>
              <w:widowControl w:val="0"/>
              <w:kinsoku/>
              <w:wordWrap w:val="0"/>
              <w:overflowPunct/>
              <w:topLinePunct/>
              <w:autoSpaceDE/>
              <w:autoSpaceDN/>
              <w:bidi w:val="0"/>
              <w:spacing w:line="400" w:lineRule="exact"/>
              <w:ind w:right="0" w:rightChars="0"/>
              <w:jc w:val="left"/>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7" w:hRule="atLeast"/>
          <w:jc w:val="center"/>
        </w:trPr>
        <w:tc>
          <w:tcPr>
            <w:tcW w:w="9248" w:type="dxa"/>
            <w:gridSpan w:val="7"/>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bCs/>
                <w:color w:val="auto"/>
                <w:sz w:val="24"/>
                <w:szCs w:val="24"/>
                <w:lang w:eastAsia="zh-CN"/>
              </w:rPr>
            </w:pPr>
            <w:r>
              <w:rPr>
                <w:rFonts w:hint="eastAsia" w:asciiTheme="majorEastAsia" w:hAnsiTheme="majorEastAsia" w:eastAsiaTheme="majorEastAsia" w:cstheme="majorEastAsia"/>
                <w:bCs/>
                <w:color w:val="auto"/>
                <w:sz w:val="24"/>
                <w:szCs w:val="24"/>
                <w:lang w:val="en-US" w:eastAsia="zh-CN"/>
              </w:rPr>
              <w:t>六、扣分项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38"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收到群众有效投诉的，每次扣</w:t>
            </w:r>
            <w:r>
              <w:rPr>
                <w:rFonts w:hint="eastAsia" w:asciiTheme="majorEastAsia" w:hAnsiTheme="majorEastAsia" w:eastAsiaTheme="majorEastAsia" w:cstheme="majorEastAsia"/>
                <w:color w:val="auto"/>
                <w:sz w:val="24"/>
                <w:szCs w:val="24"/>
                <w:lang w:val="en-US" w:eastAsia="zh-CN"/>
              </w:rPr>
              <w:t>2</w:t>
            </w:r>
            <w:r>
              <w:rPr>
                <w:rFonts w:hint="eastAsia" w:asciiTheme="majorEastAsia" w:hAnsiTheme="majorEastAsia" w:eastAsiaTheme="majorEastAsia" w:cstheme="majorEastAsia"/>
                <w:color w:val="auto"/>
                <w:sz w:val="24"/>
                <w:szCs w:val="24"/>
                <w:lang w:eastAsia="zh-CN"/>
              </w:rPr>
              <w:t>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color w:val="auto"/>
                <w:kern w:val="2"/>
                <w:sz w:val="24"/>
                <w:szCs w:val="24"/>
                <w:lang w:val="en-US" w:eastAsia="zh-CN" w:bidi="ar-SA"/>
              </w:rPr>
            </w:pPr>
          </w:p>
        </w:tc>
        <w:tc>
          <w:tcPr>
            <w:tcW w:w="1152" w:type="dxa"/>
            <w:gridSpan w:val="2"/>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lang w:val="en-US" w:eastAsia="zh-CN"/>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3"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出现重大负面舆情的，扣</w:t>
            </w:r>
            <w:r>
              <w:rPr>
                <w:rFonts w:hint="eastAsia" w:asciiTheme="majorEastAsia" w:hAnsiTheme="majorEastAsia" w:eastAsiaTheme="majorEastAsia" w:cstheme="majorEastAsia"/>
                <w:color w:val="auto"/>
                <w:sz w:val="24"/>
                <w:szCs w:val="24"/>
                <w:lang w:val="en-US" w:eastAsia="zh-CN"/>
              </w:rPr>
              <w:t>10分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b/>
                <w:bCs/>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8"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发生安全责任事故的，扣</w:t>
            </w:r>
            <w:r>
              <w:rPr>
                <w:rFonts w:hint="eastAsia" w:asciiTheme="majorEastAsia" w:hAnsiTheme="majorEastAsia" w:eastAsiaTheme="majorEastAsia" w:cstheme="majorEastAsia"/>
                <w:color w:val="auto"/>
                <w:sz w:val="24"/>
                <w:szCs w:val="24"/>
                <w:lang w:val="en-US" w:eastAsia="zh-CN"/>
              </w:rPr>
              <w:t>10分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b/>
                <w:bCs/>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8"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val="en-US" w:eastAsia="zh-CN"/>
              </w:rPr>
              <w:t>除向夫妻健在一方、高龄老人、危重病人预售(租)确保自用外，对外预售或未凭死亡证、火化证等证件销售墓穴、骨灰存放格位的，扣10分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b/>
                <w:bCs/>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7"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维护费未专户存储或未按规定提取、使用维护费的，扣</w:t>
            </w:r>
            <w:r>
              <w:rPr>
                <w:rFonts w:hint="eastAsia" w:asciiTheme="majorEastAsia" w:hAnsiTheme="majorEastAsia" w:eastAsiaTheme="majorEastAsia" w:cstheme="majorEastAsia"/>
                <w:color w:val="auto"/>
                <w:sz w:val="24"/>
                <w:szCs w:val="24"/>
                <w:lang w:val="en-US" w:eastAsia="zh-CN"/>
              </w:rPr>
              <w:t>5分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b/>
                <w:bCs/>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7"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未及时将墓位销售情况录入全省殡葬管理系统的，扣5分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b/>
                <w:bCs/>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7"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default"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在各级检查中被点名通报的，每次扣</w:t>
            </w:r>
            <w:r>
              <w:rPr>
                <w:rFonts w:hint="eastAsia" w:asciiTheme="majorEastAsia" w:hAnsiTheme="majorEastAsia" w:eastAsiaTheme="majorEastAsia" w:cstheme="majorEastAsia"/>
                <w:color w:val="auto"/>
                <w:sz w:val="24"/>
                <w:szCs w:val="24"/>
                <w:lang w:val="en-US" w:eastAsia="zh-CN"/>
              </w:rPr>
              <w:t>5分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b/>
                <w:bCs/>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7"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发现其他负面问题的，根据问题严重程度视情扣分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b/>
                <w:bCs/>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80" w:hRule="atLeast"/>
          <w:jc w:val="center"/>
        </w:trPr>
        <w:tc>
          <w:tcPr>
            <w:tcW w:w="9248" w:type="dxa"/>
            <w:gridSpan w:val="7"/>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bCs/>
                <w:color w:val="auto"/>
                <w:sz w:val="24"/>
                <w:szCs w:val="24"/>
                <w:lang w:val="en-US" w:eastAsia="zh-CN"/>
              </w:rPr>
              <w:t>七、加分项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9"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免费提供鲜花、丝带等绿色祭扫用品（</w:t>
            </w:r>
            <w:r>
              <w:rPr>
                <w:rFonts w:hint="eastAsia" w:asciiTheme="majorEastAsia" w:hAnsiTheme="majorEastAsia" w:eastAsiaTheme="majorEastAsia" w:cstheme="majorEastAsia"/>
                <w:color w:val="auto"/>
                <w:sz w:val="24"/>
                <w:szCs w:val="24"/>
                <w:lang w:val="en-US" w:eastAsia="zh-CN"/>
              </w:rPr>
              <w:t>5分</w:t>
            </w:r>
            <w:r>
              <w:rPr>
                <w:rFonts w:hint="eastAsia" w:asciiTheme="majorEastAsia" w:hAnsiTheme="majorEastAsia" w:eastAsiaTheme="majorEastAsia" w:cstheme="majorEastAsia"/>
                <w:color w:val="auto"/>
                <w:sz w:val="24"/>
                <w:szCs w:val="24"/>
                <w:lang w:eastAsia="zh-CN"/>
              </w:rPr>
              <w:t>）</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5"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组织开展节地生态集中安葬活动（</w:t>
            </w:r>
            <w:r>
              <w:rPr>
                <w:rFonts w:hint="eastAsia" w:asciiTheme="majorEastAsia" w:hAnsiTheme="majorEastAsia" w:eastAsiaTheme="majorEastAsia" w:cstheme="majorEastAsia"/>
                <w:color w:val="auto"/>
                <w:sz w:val="24"/>
                <w:szCs w:val="24"/>
                <w:lang w:val="en-US" w:eastAsia="zh-CN"/>
              </w:rPr>
              <w:t>5</w:t>
            </w:r>
            <w:r>
              <w:rPr>
                <w:rFonts w:hint="eastAsia" w:asciiTheme="majorEastAsia" w:hAnsiTheme="majorEastAsia" w:eastAsiaTheme="majorEastAsia" w:cstheme="majorEastAsia"/>
                <w:color w:val="auto"/>
                <w:sz w:val="24"/>
                <w:szCs w:val="24"/>
                <w:lang w:eastAsia="zh-CN"/>
              </w:rPr>
              <w:t>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9"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推进墓穴、墓碑小型化、生态化效果明显（</w:t>
            </w:r>
            <w:r>
              <w:rPr>
                <w:rFonts w:hint="eastAsia" w:asciiTheme="majorEastAsia" w:hAnsiTheme="majorEastAsia" w:eastAsiaTheme="majorEastAsia" w:cstheme="majorEastAsia"/>
                <w:color w:val="auto"/>
                <w:sz w:val="24"/>
                <w:szCs w:val="24"/>
                <w:lang w:val="en-US" w:eastAsia="zh-CN"/>
              </w:rPr>
              <w:t>5分</w:t>
            </w:r>
            <w:r>
              <w:rPr>
                <w:rFonts w:hint="eastAsia" w:asciiTheme="majorEastAsia" w:hAnsiTheme="majorEastAsia" w:eastAsiaTheme="majorEastAsia" w:cstheme="majorEastAsia"/>
                <w:color w:val="auto"/>
                <w:sz w:val="24"/>
                <w:szCs w:val="24"/>
                <w:lang w:eastAsia="zh-CN"/>
              </w:rPr>
              <w:t>）</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color w:val="auto"/>
                <w:sz w:val="24"/>
                <w:szCs w:val="24"/>
              </w:rPr>
            </w:pPr>
          </w:p>
        </w:tc>
        <w:tc>
          <w:tcPr>
            <w:tcW w:w="1152" w:type="dxa"/>
            <w:gridSpan w:val="2"/>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c>
          <w:tcPr>
            <w:tcW w:w="1874" w:type="dxa"/>
            <w:vAlign w:val="top"/>
          </w:tcPr>
          <w:p>
            <w:pPr>
              <w:keepNext w:val="0"/>
              <w:keepLines w:val="0"/>
              <w:pageBreakBefore w:val="0"/>
              <w:widowControl w:val="0"/>
              <w:kinsoku/>
              <w:wordWrap w:val="0"/>
              <w:overflowPunct/>
              <w:topLinePunct/>
              <w:autoSpaceDE/>
              <w:autoSpaceDN/>
              <w:bidi w:val="0"/>
              <w:adjustRightInd/>
              <w:snapToGrid/>
              <w:spacing w:line="440" w:lineRule="exact"/>
              <w:ind w:right="0" w:rightChars="0"/>
              <w:jc w:val="left"/>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8"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信息化建设成效显著（5分）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color w:val="auto"/>
                <w:sz w:val="24"/>
                <w:szCs w:val="24"/>
              </w:rPr>
            </w:pPr>
          </w:p>
        </w:tc>
        <w:tc>
          <w:tcPr>
            <w:tcW w:w="1152"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color w:val="auto"/>
                <w:sz w:val="24"/>
                <w:szCs w:val="24"/>
              </w:rPr>
            </w:pPr>
          </w:p>
        </w:tc>
        <w:tc>
          <w:tcPr>
            <w:tcW w:w="1874" w:type="dxa"/>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center"/>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9"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在业务比赛中取得较好名次（5分）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rPr>
            </w:pPr>
          </w:p>
        </w:tc>
        <w:tc>
          <w:tcPr>
            <w:tcW w:w="1152"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rPr>
            </w:pPr>
          </w:p>
        </w:tc>
        <w:tc>
          <w:tcPr>
            <w:tcW w:w="1874" w:type="dxa"/>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5" w:hRule="atLeast"/>
          <w:jc w:val="center"/>
        </w:trPr>
        <w:tc>
          <w:tcPr>
            <w:tcW w:w="5399"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在其他工作方面取得较好成绩，根据情况酌情加分</w:t>
            </w:r>
          </w:p>
        </w:tc>
        <w:tc>
          <w:tcPr>
            <w:tcW w:w="823"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rPr>
            </w:pPr>
          </w:p>
        </w:tc>
        <w:tc>
          <w:tcPr>
            <w:tcW w:w="1152" w:type="dxa"/>
            <w:gridSpan w:val="2"/>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rPr>
            </w:pPr>
          </w:p>
        </w:tc>
        <w:tc>
          <w:tcPr>
            <w:tcW w:w="1874" w:type="dxa"/>
            <w:vAlign w:val="center"/>
          </w:tcPr>
          <w:p>
            <w:pPr>
              <w:keepNext w:val="0"/>
              <w:keepLines w:val="0"/>
              <w:pageBreakBefore w:val="0"/>
              <w:widowControl w:val="0"/>
              <w:kinsoku/>
              <w:wordWrap w:val="0"/>
              <w:overflowPunct/>
              <w:topLinePunct/>
              <w:autoSpaceDE/>
              <w:autoSpaceDN/>
              <w:bidi w:val="0"/>
              <w:adjustRightInd/>
              <w:snapToGrid/>
              <w:spacing w:line="440" w:lineRule="exact"/>
              <w:ind w:right="0" w:rightChars="0"/>
              <w:jc w:val="both"/>
              <w:textAlignment w:val="auto"/>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97" w:hRule="atLeast"/>
          <w:jc w:val="center"/>
        </w:trPr>
        <w:tc>
          <w:tcPr>
            <w:tcW w:w="1644" w:type="dxa"/>
            <w:vAlign w:val="center"/>
          </w:tcPr>
          <w:p>
            <w:pPr>
              <w:keepNext w:val="0"/>
              <w:keepLines w:val="0"/>
              <w:pageBreakBefore w:val="0"/>
              <w:widowControl w:val="0"/>
              <w:kinsoku/>
              <w:wordWrap w:val="0"/>
              <w:overflowPunct/>
              <w:topLinePunct/>
              <w:autoSpaceDE/>
              <w:autoSpaceDN/>
              <w:bidi w:val="0"/>
              <w:spacing w:line="400" w:lineRule="exact"/>
              <w:ind w:right="0" w:rightChars="0"/>
              <w:jc w:val="center"/>
              <w:rPr>
                <w:rFonts w:hint="eastAsia" w:asciiTheme="majorEastAsia" w:hAnsiTheme="majorEastAsia" w:eastAsiaTheme="majorEastAsia" w:cstheme="majorEastAsia"/>
                <w:b/>
                <w:bCs/>
                <w:color w:val="auto"/>
                <w:sz w:val="24"/>
                <w:szCs w:val="24"/>
              </w:rPr>
            </w:pPr>
            <w:r>
              <w:rPr>
                <w:rFonts w:hint="eastAsia" w:asciiTheme="majorEastAsia" w:hAnsiTheme="majorEastAsia" w:eastAsiaTheme="majorEastAsia" w:cstheme="majorEastAsia"/>
                <w:bCs/>
                <w:color w:val="auto"/>
                <w:sz w:val="24"/>
                <w:szCs w:val="24"/>
              </w:rPr>
              <w:t>总分</w:t>
            </w:r>
          </w:p>
        </w:tc>
        <w:tc>
          <w:tcPr>
            <w:tcW w:w="7604" w:type="dxa"/>
            <w:gridSpan w:val="6"/>
            <w:vAlign w:val="center"/>
          </w:tcPr>
          <w:p>
            <w:pPr>
              <w:keepNext w:val="0"/>
              <w:keepLines w:val="0"/>
              <w:pageBreakBefore w:val="0"/>
              <w:widowControl w:val="0"/>
              <w:kinsoku/>
              <w:wordWrap w:val="0"/>
              <w:overflowPunct/>
              <w:topLinePunct/>
              <w:autoSpaceDE/>
              <w:autoSpaceDN/>
              <w:bidi w:val="0"/>
              <w:spacing w:line="390" w:lineRule="exact"/>
              <w:ind w:right="0" w:rightChars="0"/>
              <w:jc w:val="both"/>
              <w:rPr>
                <w:rFonts w:hint="eastAsia" w:asciiTheme="majorEastAsia" w:hAnsiTheme="majorEastAsia" w:eastAsiaTheme="majorEastAsia" w:cstheme="maj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85" w:hRule="atLeast"/>
          <w:jc w:val="center"/>
        </w:trPr>
        <w:tc>
          <w:tcPr>
            <w:tcW w:w="9248" w:type="dxa"/>
            <w:gridSpan w:val="7"/>
            <w:vAlign w:val="center"/>
          </w:tcPr>
          <w:p>
            <w:pPr>
              <w:keepNext w:val="0"/>
              <w:keepLines w:val="0"/>
              <w:pageBreakBefore w:val="0"/>
              <w:widowControl w:val="0"/>
              <w:kinsoku/>
              <w:wordWrap w:val="0"/>
              <w:overflowPunct/>
              <w:topLinePunct/>
              <w:autoSpaceDE/>
              <w:autoSpaceDN/>
              <w:bidi w:val="0"/>
              <w:spacing w:line="390" w:lineRule="exact"/>
              <w:ind w:right="0" w:rightChars="0"/>
              <w:jc w:val="both"/>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eastAsia="zh-CN"/>
              </w:rPr>
              <w:t>评分说明：各市（州）民政局对照每一项检查内容，结合佐证材料、实地查验、联合会审、平时了解等情况，逐项进行打分。括号内为该项最大分值，最小分差为</w:t>
            </w:r>
            <w:r>
              <w:rPr>
                <w:rFonts w:hint="eastAsia" w:asciiTheme="majorEastAsia" w:hAnsiTheme="majorEastAsia" w:eastAsiaTheme="majorEastAsia" w:cstheme="majorEastAsia"/>
                <w:color w:val="auto"/>
                <w:sz w:val="24"/>
                <w:szCs w:val="24"/>
                <w:lang w:val="en-US" w:eastAsia="zh-CN"/>
              </w:rPr>
              <w:t>1分，总分不超过100分。</w:t>
            </w:r>
          </w:p>
        </w:tc>
      </w:tr>
    </w:tbl>
    <w:p>
      <w:pPr>
        <w:keepNext w:val="0"/>
        <w:keepLines w:val="0"/>
        <w:pageBreakBefore w:val="0"/>
        <w:widowControl w:val="0"/>
        <w:kinsoku/>
        <w:wordWrap w:val="0"/>
        <w:overflowPunct/>
        <w:topLinePunct/>
        <w:autoSpaceDE/>
        <w:autoSpaceDN/>
        <w:bidi w:val="0"/>
        <w:spacing w:line="560" w:lineRule="exact"/>
        <w:ind w:right="0" w:rightChars="0"/>
        <w:jc w:val="left"/>
        <w:rPr>
          <w:color w:val="auto"/>
        </w:rPr>
      </w:pPr>
      <w:r>
        <w:rPr>
          <w:rFonts w:hint="eastAsia" w:ascii="黑体" w:eastAsia="黑体"/>
          <w:color w:val="auto"/>
          <w:sz w:val="28"/>
          <w:szCs w:val="28"/>
        </w:rPr>
        <w:t>注：</w:t>
      </w:r>
      <w:r>
        <w:rPr>
          <w:rFonts w:eastAsia="楷体_GB2312"/>
          <w:color w:val="auto"/>
          <w:sz w:val="28"/>
          <w:szCs w:val="28"/>
        </w:rPr>
        <w:t>此表一式</w:t>
      </w:r>
      <w:r>
        <w:rPr>
          <w:rFonts w:hint="eastAsia" w:eastAsia="楷体_GB2312"/>
          <w:color w:val="auto"/>
          <w:sz w:val="28"/>
          <w:szCs w:val="28"/>
          <w:lang w:val="en-US" w:eastAsia="zh-CN"/>
        </w:rPr>
        <w:t>3</w:t>
      </w:r>
      <w:r>
        <w:rPr>
          <w:rFonts w:eastAsia="楷体_GB2312"/>
          <w:color w:val="auto"/>
          <w:sz w:val="28"/>
          <w:szCs w:val="28"/>
        </w:rPr>
        <w:t>份（</w:t>
      </w:r>
      <w:r>
        <w:rPr>
          <w:rFonts w:hint="eastAsia" w:eastAsia="楷体_GB2312"/>
          <w:color w:val="auto"/>
          <w:sz w:val="28"/>
          <w:szCs w:val="28"/>
          <w:lang w:val="en-US" w:eastAsia="zh-CN"/>
        </w:rPr>
        <w:t>A3对折</w:t>
      </w:r>
      <w:r>
        <w:rPr>
          <w:rFonts w:eastAsia="楷体_GB2312"/>
          <w:color w:val="auto"/>
          <w:sz w:val="28"/>
          <w:szCs w:val="28"/>
        </w:rPr>
        <w:t>双面打印），报民政厅</w:t>
      </w:r>
      <w:r>
        <w:rPr>
          <w:rFonts w:hint="eastAsia" w:eastAsia="楷体_GB2312"/>
          <w:color w:val="auto"/>
          <w:sz w:val="28"/>
          <w:szCs w:val="28"/>
          <w:lang w:eastAsia="zh-CN"/>
        </w:rPr>
        <w:t>主管</w:t>
      </w:r>
      <w:r>
        <w:rPr>
          <w:rFonts w:eastAsia="楷体_GB2312"/>
          <w:color w:val="auto"/>
          <w:sz w:val="28"/>
          <w:szCs w:val="28"/>
        </w:rPr>
        <w:t>处</w:t>
      </w:r>
      <w:r>
        <w:rPr>
          <w:rFonts w:hint="eastAsia" w:eastAsia="楷体_GB2312"/>
          <w:color w:val="auto"/>
          <w:sz w:val="28"/>
          <w:szCs w:val="28"/>
          <w:lang w:eastAsia="zh-CN"/>
        </w:rPr>
        <w:t>室</w:t>
      </w:r>
      <w:r>
        <w:rPr>
          <w:rFonts w:hint="eastAsia" w:eastAsia="楷体_GB2312"/>
          <w:color w:val="auto"/>
          <w:sz w:val="28"/>
          <w:szCs w:val="28"/>
          <w:lang w:val="en-US" w:eastAsia="zh-CN"/>
        </w:rPr>
        <w:t>1</w:t>
      </w:r>
      <w:r>
        <w:rPr>
          <w:rFonts w:eastAsia="楷体_GB2312"/>
          <w:color w:val="auto"/>
          <w:sz w:val="28"/>
          <w:szCs w:val="28"/>
        </w:rPr>
        <w:t>份，</w:t>
      </w:r>
      <w:r>
        <w:rPr>
          <w:rFonts w:hint="eastAsia" w:eastAsia="楷体_GB2312"/>
          <w:color w:val="auto"/>
          <w:sz w:val="28"/>
          <w:szCs w:val="28"/>
          <w:lang w:eastAsia="zh-CN"/>
        </w:rPr>
        <w:t>市（州）民政局</w:t>
      </w:r>
      <w:r>
        <w:rPr>
          <w:rFonts w:eastAsia="楷体_GB2312"/>
          <w:color w:val="auto"/>
          <w:sz w:val="28"/>
          <w:szCs w:val="28"/>
        </w:rPr>
        <w:t>留存</w:t>
      </w:r>
      <w:r>
        <w:rPr>
          <w:rFonts w:hint="eastAsia" w:eastAsia="楷体_GB2312"/>
          <w:color w:val="auto"/>
          <w:sz w:val="28"/>
          <w:szCs w:val="28"/>
          <w:lang w:val="en-US" w:eastAsia="zh-CN"/>
        </w:rPr>
        <w:t>1</w:t>
      </w:r>
      <w:r>
        <w:rPr>
          <w:rFonts w:eastAsia="楷体_GB2312"/>
          <w:color w:val="auto"/>
          <w:sz w:val="28"/>
          <w:szCs w:val="28"/>
        </w:rPr>
        <w:t>份</w:t>
      </w:r>
      <w:r>
        <w:rPr>
          <w:rFonts w:hint="eastAsia" w:eastAsia="楷体_GB2312"/>
          <w:color w:val="auto"/>
          <w:sz w:val="28"/>
          <w:szCs w:val="28"/>
          <w:lang w:eastAsia="zh-CN"/>
        </w:rPr>
        <w:t>，公墓档案存档</w:t>
      </w:r>
      <w:r>
        <w:rPr>
          <w:rFonts w:hint="eastAsia" w:eastAsia="楷体_GB2312"/>
          <w:color w:val="auto"/>
          <w:sz w:val="28"/>
          <w:szCs w:val="28"/>
          <w:lang w:val="en-US" w:eastAsia="zh-CN"/>
        </w:rPr>
        <w:t>1份。</w:t>
      </w:r>
    </w:p>
    <w:p>
      <w:pPr>
        <w:pStyle w:val="2"/>
        <w:ind w:left="0" w:leftChars="0" w:firstLine="0" w:firstLineChars="0"/>
        <w:rPr>
          <w:rFonts w:hint="eastAsia" w:eastAsia="楷体_GB2312"/>
          <w:color w:val="auto"/>
          <w:sz w:val="28"/>
          <w:szCs w:val="28"/>
          <w:lang w:val="en-US" w:eastAsia="zh-CN"/>
        </w:rPr>
      </w:pPr>
    </w:p>
    <w:p>
      <w:pPr>
        <w:pStyle w:val="2"/>
        <w:ind w:left="0" w:leftChars="0" w:firstLine="0" w:firstLineChars="0"/>
        <w:rPr>
          <w:rFonts w:hint="eastAsia" w:eastAsia="楷体_GB2312"/>
          <w:color w:val="auto"/>
          <w:sz w:val="28"/>
          <w:szCs w:val="28"/>
          <w:lang w:val="en-US" w:eastAsia="zh-CN"/>
        </w:rPr>
      </w:pPr>
    </w:p>
    <w:p>
      <w:pPr>
        <w:pStyle w:val="2"/>
        <w:ind w:left="0" w:leftChars="0" w:firstLine="0" w:firstLineChars="0"/>
        <w:rPr>
          <w:rFonts w:hint="eastAsia" w:eastAsia="楷体_GB2312"/>
          <w:color w:val="auto"/>
          <w:sz w:val="28"/>
          <w:szCs w:val="28"/>
          <w:lang w:val="en-US" w:eastAsia="zh-CN"/>
        </w:rPr>
      </w:pPr>
    </w:p>
    <w:sectPr>
      <w:pgSz w:w="11906" w:h="16838"/>
      <w:pgMar w:top="2154" w:right="1474" w:bottom="1361" w:left="1587" w:header="0" w:footer="1417"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仿宋简体">
    <w:altName w:val="方正仿宋_GBK"/>
    <w:panose1 w:val="03000509000000000000"/>
    <w:charset w:val="86"/>
    <w:family w:val="script"/>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script"/>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MIkSXjECAABhBAAADgAAAAAAAAABACAAAAA1&#10;AQAAZHJzL2Uyb0RvYy54bWxQSwUGAAAAAAYABgBZAQAA2AUAAAAA&#10;">
              <v:fill on="f" focussize="0,0"/>
              <v:stroke on="f" weight="0.5pt"/>
              <v:imagedata o:title=""/>
              <o:lock v:ext="edit" aspectratio="f"/>
              <v:textbox inset="0mm,0mm,0mm,0mm" style="mso-fit-shape-to-text:t;">
                <w:txbxContent>
                  <w:p>
                    <w:pPr>
                      <w:snapToGrid w:val="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val="en-US" w:eastAsia="zh-CN"/>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ind w:left="210" w:leftChars="100" w:right="210" w:rightChars="100"/>
      <w:rPr>
        <w:rStyle w:val="7"/>
        <w:rFonts w:hint="eastAsia"/>
        <w:sz w:val="28"/>
        <w:szCs w:val="28"/>
      </w:rPr>
    </w:pPr>
    <w:r>
      <w:rPr>
        <w:rStyle w:val="7"/>
        <w:rFonts w:hint="eastAsia"/>
        <w:sz w:val="28"/>
        <w:szCs w:val="28"/>
      </w:rPr>
      <w:t>—</w:t>
    </w:r>
    <w:r>
      <w:rPr>
        <w:rStyle w:val="7"/>
        <w:rFonts w:hint="eastAsia"/>
        <w:spacing w:val="-26"/>
        <w:sz w:val="28"/>
        <w:szCs w:val="28"/>
      </w:rPr>
      <w:t xml:space="preserve"> </w:t>
    </w:r>
    <w:r>
      <w:rPr>
        <w:sz w:val="28"/>
        <w:szCs w:val="28"/>
      </w:rPr>
      <w:fldChar w:fldCharType="begin"/>
    </w:r>
    <w:r>
      <w:rPr>
        <w:rStyle w:val="7"/>
        <w:sz w:val="28"/>
        <w:szCs w:val="28"/>
      </w:rPr>
      <w:instrText xml:space="preserve">PAGE  </w:instrText>
    </w:r>
    <w:r>
      <w:rPr>
        <w:sz w:val="28"/>
        <w:szCs w:val="28"/>
      </w:rPr>
      <w:fldChar w:fldCharType="separate"/>
    </w:r>
    <w:r>
      <w:rPr>
        <w:rStyle w:val="7"/>
        <w:sz w:val="28"/>
        <w:szCs w:val="28"/>
      </w:rPr>
      <w:t>2</w:t>
    </w:r>
    <w:r>
      <w:rPr>
        <w:sz w:val="28"/>
        <w:szCs w:val="28"/>
      </w:rPr>
      <w:fldChar w:fldCharType="end"/>
    </w:r>
    <w:r>
      <w:rPr>
        <w:rStyle w:val="7"/>
        <w:rFonts w:hint="eastAsia"/>
        <w:spacing w:val="-26"/>
        <w:sz w:val="28"/>
        <w:szCs w:val="28"/>
      </w:rPr>
      <w:t xml:space="preserve"> </w:t>
    </w:r>
    <w:r>
      <w:rPr>
        <w:rStyle w:val="7"/>
        <w:rFonts w:hint="eastAsia"/>
        <w:sz w:val="28"/>
        <w:szCs w:val="28"/>
      </w:rPr>
      <w:t>—</w:t>
    </w:r>
  </w:p>
  <w:p>
    <w:pPr>
      <w:pStyle w:val="4"/>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t>—</w:t>
                          </w:r>
                          <w:r>
                            <w:rPr>
                              <w:rFonts w:hint="eastAsia" w:asciiTheme="majorEastAsia" w:hAnsiTheme="majorEastAsia" w:eastAsiaTheme="majorEastAsia" w:cstheme="majorEastAsia"/>
                              <w:sz w:val="28"/>
                              <w:szCs w:val="28"/>
                              <w:lang w:val="en-US" w:eastAsia="zh-CN"/>
                            </w:rPr>
                            <w:t xml:space="preserve"> </w:t>
                          </w: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rPr>
                            <w:t>10</w:t>
                          </w:r>
                          <w:r>
                            <w:rPr>
                              <w:rFonts w:hint="eastAsia" w:asciiTheme="majorEastAsia" w:hAnsiTheme="majorEastAsia" w:eastAsiaTheme="majorEastAsia" w:cstheme="majorEastAsia"/>
                              <w:sz w:val="28"/>
                              <w:szCs w:val="28"/>
                              <w:lang w:eastAsia="zh-CN"/>
                            </w:rPr>
                            <w:fldChar w:fldCharType="end"/>
                          </w:r>
                          <w:r>
                            <w:rPr>
                              <w:rFonts w:hint="eastAsia" w:asciiTheme="majorEastAsia" w:hAnsiTheme="majorEastAsia" w:eastAsiaTheme="majorEastAsia" w:cstheme="majorEastAsia"/>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s0lY7tAAAAAFAQAADwAAAAAAAAABACAAAAA4AAAA&#10;ZHJzL2Rvd25yZXYueG1sUEsBAhQAFAAAAAgAh07iQPWLh2QyAgAAYQQAAA4AAAAAAAAAAQAgAAAA&#10;NQEAAGRycy9lMm9Eb2MueG1sUEsFBgAAAAAGAAYAWQEAANkFAAAAAA==&#10;">
              <v:fill on="f" focussize="0,0"/>
              <v:stroke on="f" weight="0.5pt"/>
              <v:imagedata o:title=""/>
              <o:lock v:ext="edit" aspectratio="f"/>
              <v:textbox inset="0mm,0mm,0mm,0mm" style="mso-fit-shape-to-text:t;">
                <w:txbxContent>
                  <w:p>
                    <w:pPr>
                      <w:snapToGrid w:val="0"/>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t>—</w:t>
                    </w:r>
                    <w:r>
                      <w:rPr>
                        <w:rFonts w:hint="eastAsia" w:asciiTheme="majorEastAsia" w:hAnsiTheme="majorEastAsia" w:eastAsiaTheme="majorEastAsia" w:cstheme="majorEastAsia"/>
                        <w:sz w:val="28"/>
                        <w:szCs w:val="28"/>
                        <w:lang w:val="en-US" w:eastAsia="zh-CN"/>
                      </w:rPr>
                      <w:t xml:space="preserve"> </w:t>
                    </w: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rPr>
                      <w:t>10</w:t>
                    </w:r>
                    <w:r>
                      <w:rPr>
                        <w:rFonts w:hint="eastAsia" w:asciiTheme="majorEastAsia" w:hAnsiTheme="majorEastAsia" w:eastAsiaTheme="majorEastAsia" w:cstheme="majorEastAsia"/>
                        <w:sz w:val="28"/>
                        <w:szCs w:val="28"/>
                        <w:lang w:eastAsia="zh-CN"/>
                      </w:rPr>
                      <w:fldChar w:fldCharType="end"/>
                    </w:r>
                    <w:r>
                      <w:rPr>
                        <w:rFonts w:hint="eastAsia" w:asciiTheme="majorEastAsia" w:hAnsiTheme="majorEastAsia" w:eastAsiaTheme="majorEastAsia" w:cstheme="majorEastAsia"/>
                        <w:sz w:val="28"/>
                        <w:szCs w:val="28"/>
                        <w:lang w:val="en-US" w:eastAsia="zh-CN"/>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69F2E30"/>
    <w:rsid w:val="069F2E30"/>
    <w:rsid w:val="23FD1093"/>
    <w:rsid w:val="2EAF3F45"/>
    <w:rsid w:val="343F3D06"/>
    <w:rsid w:val="3F7FE6F8"/>
    <w:rsid w:val="3FDF402D"/>
    <w:rsid w:val="56BBE87D"/>
    <w:rsid w:val="753A1E44"/>
    <w:rsid w:val="7BBF1D3F"/>
    <w:rsid w:val="7DE3D088"/>
    <w:rsid w:val="7E7F560B"/>
    <w:rsid w:val="7FB72D38"/>
    <w:rsid w:val="7FFD2A25"/>
    <w:rsid w:val="7FFFAD46"/>
    <w:rsid w:val="7FFFE624"/>
    <w:rsid w:val="C7F7F066"/>
    <w:rsid w:val="CE7D1036"/>
    <w:rsid w:val="DCD28ED0"/>
    <w:rsid w:val="DF6F6624"/>
    <w:rsid w:val="E27FE078"/>
    <w:rsid w:val="E3EFAE36"/>
    <w:rsid w:val="EACDE2FE"/>
    <w:rsid w:val="EFC75651"/>
    <w:rsid w:val="F77829FE"/>
    <w:rsid w:val="FBD7BD7D"/>
    <w:rsid w:val="FE7F198D"/>
    <w:rsid w:val="FF7BDF22"/>
    <w:rsid w:val="FF7FD054"/>
    <w:rsid w:val="FFF8F8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常用样式（方正仿宋简）"/>
    <w:basedOn w:val="1"/>
    <w:qFormat/>
    <w:uiPriority w:val="0"/>
    <w:pPr>
      <w:spacing w:line="560" w:lineRule="exact"/>
      <w:ind w:firstLine="640" w:firstLineChars="200"/>
    </w:pPr>
    <w:rPr>
      <w:rFonts w:eastAsia="方正仿宋简体"/>
      <w:sz w:val="32"/>
    </w:rPr>
  </w:style>
  <w:style w:type="paragraph" w:styleId="3">
    <w:name w:val="Body Text"/>
    <w:basedOn w:val="1"/>
    <w:qFormat/>
    <w:uiPriority w:val="0"/>
    <w:rPr>
      <w:rFonts w:ascii="仿宋" w:hAnsi="仿宋" w:eastAsia="仿宋" w:cs="仿宋"/>
      <w:sz w:val="31"/>
      <w:szCs w:val="31"/>
      <w:lang w:val="en-US" w:eastAsia="en-US" w:bidi="ar-SA"/>
    </w:rPr>
  </w:style>
  <w:style w:type="paragraph" w:styleId="4">
    <w:name w:val="footer"/>
    <w:basedOn w:val="1"/>
    <w:qFormat/>
    <w:uiPriority w:val="0"/>
    <w:pPr>
      <w:tabs>
        <w:tab w:val="center" w:pos="4153"/>
        <w:tab w:val="right" w:pos="8306"/>
      </w:tabs>
      <w:snapToGrid w:val="0"/>
      <w:jc w:val="left"/>
    </w:pPr>
    <w:rPr>
      <w:sz w:val="18"/>
      <w:szCs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0</Words>
  <Characters>0</Characters>
  <Lines>0</Lines>
  <Paragraphs>0</Paragraphs>
  <TotalTime>6</TotalTime>
  <ScaleCrop>false</ScaleCrop>
  <LinksUpToDate>false</LinksUpToDate>
  <CharactersWithSpaces>0</CharactersWithSpaces>
  <Application>WPS Office_12.8.2.1112_F1E327BC-269C-435d-A152-05C5408002CA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2025-01-21T02:56:00Z</dcterms:created>
  <dc:creator>Administrator</dc:creator>
  <cp:lastModifiedBy>小雄</cp:lastModifiedBy>
  <cp:lastPrinted>2025-02-08T03:10:00Z</cp:lastPrinted>
  <dcterms:modified xsi:type="dcterms:W3CDTF">2025-02-08T10:29:45Z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2052-12.8.2.1112</vt:lpwstr>
  </property>
  <property fmtid="{D5CDD505-2E9C-101B-9397-08002B2CF9AE}" pid="3" name="ICV">
    <vt:lpwstr>A26E568E447A4314C9CCA5673588AE32_43</vt:lpwstr>
  </property>
</Properties>
</file>