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05A1FD">
      <w:pPr>
        <w:jc w:val="center"/>
        <w:rPr>
          <w:rFonts w:ascii="Times New Roman" w:hAnsi="Times New Roman" w:eastAsia="黑体" w:cs="Times New Roman"/>
          <w:kern w:val="0"/>
          <w:sz w:val="44"/>
          <w:szCs w:val="44"/>
        </w:rPr>
      </w:pPr>
      <w:bookmarkStart w:id="0" w:name="_Hlk162957767"/>
      <w:r>
        <w:rPr>
          <w:rFonts w:ascii="Times New Roman" w:hAnsi="Times New Roman" w:eastAsia="黑体" w:cs="Times New Roman"/>
          <w:kern w:val="0"/>
          <w:sz w:val="44"/>
          <w:szCs w:val="44"/>
        </w:rPr>
        <w:t>湖南省地方标准</w:t>
      </w:r>
    </w:p>
    <w:bookmarkEnd w:id="0"/>
    <w:p w14:paraId="2A6806AE">
      <w:pPr>
        <w:jc w:val="center"/>
        <w:rPr>
          <w:rFonts w:ascii="Times New Roman" w:hAnsi="Times New Roman" w:eastAsia="黑体" w:cs="Times New Roman"/>
          <w:kern w:val="0"/>
          <w:sz w:val="44"/>
          <w:szCs w:val="44"/>
        </w:rPr>
      </w:pPr>
      <w:r>
        <w:rPr>
          <w:rFonts w:ascii="Times New Roman" w:hAnsi="Times New Roman" w:eastAsia="黑体" w:cs="Times New Roman"/>
          <w:kern w:val="0"/>
          <w:sz w:val="44"/>
          <w:szCs w:val="44"/>
        </w:rPr>
        <w:t>《</w:t>
      </w:r>
      <w:r>
        <w:rPr>
          <w:rFonts w:hint="eastAsia" w:ascii="Times New Roman" w:hAnsi="Times New Roman" w:eastAsia="黑体" w:cs="Times New Roman"/>
          <w:kern w:val="0"/>
          <w:sz w:val="44"/>
          <w:szCs w:val="44"/>
        </w:rPr>
        <w:t>困境儿童家庭监护能力评估</w:t>
      </w:r>
      <w:r>
        <w:rPr>
          <w:rFonts w:ascii="Times New Roman" w:hAnsi="Times New Roman" w:eastAsia="黑体" w:cs="Times New Roman"/>
          <w:kern w:val="0"/>
          <w:sz w:val="44"/>
          <w:szCs w:val="44"/>
        </w:rPr>
        <w:t>》</w:t>
      </w:r>
    </w:p>
    <w:p w14:paraId="283B61D2">
      <w:pPr>
        <w:jc w:val="center"/>
        <w:rPr>
          <w:rFonts w:ascii="Times New Roman" w:hAnsi="Times New Roman" w:eastAsia="黑体" w:cs="Times New Roman"/>
          <w:kern w:val="0"/>
          <w:sz w:val="31"/>
          <w:szCs w:val="31"/>
        </w:rPr>
      </w:pPr>
    </w:p>
    <w:p w14:paraId="201D2F39">
      <w:pPr>
        <w:jc w:val="center"/>
        <w:rPr>
          <w:rFonts w:ascii="Times New Roman" w:hAnsi="Times New Roman" w:eastAsia="黑体" w:cs="Times New Roman"/>
          <w:kern w:val="0"/>
          <w:sz w:val="31"/>
          <w:szCs w:val="31"/>
        </w:rPr>
      </w:pPr>
    </w:p>
    <w:p w14:paraId="261E0EFB">
      <w:pPr>
        <w:jc w:val="center"/>
        <w:rPr>
          <w:rFonts w:ascii="Times New Roman" w:hAnsi="Times New Roman" w:eastAsia="黑体" w:cs="Times New Roman"/>
          <w:kern w:val="0"/>
          <w:sz w:val="31"/>
          <w:szCs w:val="31"/>
        </w:rPr>
      </w:pPr>
    </w:p>
    <w:p w14:paraId="5DF54F49">
      <w:pPr>
        <w:jc w:val="center"/>
        <w:rPr>
          <w:rFonts w:ascii="Times New Roman" w:hAnsi="Times New Roman" w:eastAsia="黑体" w:cs="Times New Roman"/>
          <w:kern w:val="0"/>
          <w:sz w:val="31"/>
          <w:szCs w:val="31"/>
        </w:rPr>
      </w:pPr>
    </w:p>
    <w:p w14:paraId="4EE45EE6">
      <w:pPr>
        <w:jc w:val="center"/>
        <w:rPr>
          <w:rFonts w:ascii="Times New Roman" w:hAnsi="Times New Roman" w:eastAsia="黑体" w:cs="Times New Roman"/>
          <w:kern w:val="0"/>
          <w:sz w:val="96"/>
          <w:szCs w:val="96"/>
        </w:rPr>
      </w:pPr>
      <w:r>
        <w:rPr>
          <w:rFonts w:ascii="Times New Roman" w:hAnsi="Times New Roman" w:eastAsia="黑体" w:cs="Times New Roman"/>
          <w:kern w:val="0"/>
          <w:sz w:val="96"/>
          <w:szCs w:val="96"/>
        </w:rPr>
        <w:t>编 制 说 明</w:t>
      </w:r>
    </w:p>
    <w:p w14:paraId="0119C93F">
      <w:pPr>
        <w:jc w:val="center"/>
        <w:rPr>
          <w:rFonts w:ascii="Times New Roman" w:hAnsi="Times New Roman" w:eastAsia="黑体" w:cs="Times New Roman"/>
          <w:kern w:val="0"/>
          <w:sz w:val="31"/>
          <w:szCs w:val="31"/>
        </w:rPr>
      </w:pPr>
    </w:p>
    <w:p w14:paraId="2E76FD87">
      <w:pPr>
        <w:jc w:val="center"/>
        <w:rPr>
          <w:rFonts w:ascii="Times New Roman" w:hAnsi="Times New Roman" w:eastAsia="黑体" w:cs="Times New Roman"/>
          <w:kern w:val="0"/>
          <w:sz w:val="31"/>
          <w:szCs w:val="31"/>
        </w:rPr>
      </w:pPr>
      <w:r>
        <w:rPr>
          <w:rFonts w:ascii="Times New Roman" w:hAnsi="Times New Roman" w:eastAsia="黑体" w:cs="Times New Roman"/>
          <w:kern w:val="0"/>
          <w:sz w:val="31"/>
          <w:szCs w:val="31"/>
        </w:rPr>
        <w:t>（</w:t>
      </w:r>
      <w:r>
        <w:rPr>
          <w:rFonts w:hint="eastAsia" w:ascii="Times New Roman" w:hAnsi="Times New Roman" w:eastAsia="黑体" w:cs="Times New Roman"/>
          <w:kern w:val="0"/>
          <w:sz w:val="31"/>
          <w:szCs w:val="31"/>
        </w:rPr>
        <w:t>征求意见</w:t>
      </w:r>
      <w:r>
        <w:rPr>
          <w:rFonts w:ascii="Times New Roman" w:hAnsi="Times New Roman" w:eastAsia="黑体" w:cs="Times New Roman"/>
          <w:kern w:val="0"/>
          <w:sz w:val="31"/>
          <w:szCs w:val="31"/>
        </w:rPr>
        <w:t>稿）</w:t>
      </w:r>
    </w:p>
    <w:p w14:paraId="233ABEC5">
      <w:pPr>
        <w:jc w:val="center"/>
        <w:rPr>
          <w:rFonts w:ascii="Times New Roman" w:hAnsi="Times New Roman" w:eastAsia="黑体" w:cs="Times New Roman"/>
          <w:kern w:val="0"/>
          <w:sz w:val="31"/>
          <w:szCs w:val="31"/>
        </w:rPr>
      </w:pPr>
    </w:p>
    <w:p w14:paraId="74A2ED7D">
      <w:pPr>
        <w:jc w:val="center"/>
        <w:rPr>
          <w:rFonts w:ascii="Times New Roman" w:hAnsi="Times New Roman" w:eastAsia="黑体" w:cs="Times New Roman"/>
          <w:kern w:val="0"/>
          <w:sz w:val="31"/>
          <w:szCs w:val="31"/>
        </w:rPr>
      </w:pPr>
    </w:p>
    <w:p w14:paraId="5CE9E2D3">
      <w:pPr>
        <w:jc w:val="center"/>
        <w:rPr>
          <w:rFonts w:ascii="Times New Roman" w:hAnsi="Times New Roman" w:eastAsia="黑体" w:cs="Times New Roman"/>
          <w:kern w:val="0"/>
          <w:sz w:val="31"/>
          <w:szCs w:val="31"/>
        </w:rPr>
      </w:pPr>
    </w:p>
    <w:p w14:paraId="6FA6A346">
      <w:pPr>
        <w:jc w:val="center"/>
        <w:rPr>
          <w:rFonts w:ascii="Times New Roman" w:hAnsi="Times New Roman" w:eastAsia="黑体" w:cs="Times New Roman"/>
          <w:kern w:val="0"/>
          <w:sz w:val="31"/>
          <w:szCs w:val="31"/>
        </w:rPr>
      </w:pPr>
    </w:p>
    <w:p w14:paraId="40F5CBBD">
      <w:pPr>
        <w:jc w:val="center"/>
        <w:rPr>
          <w:rFonts w:ascii="Times New Roman" w:hAnsi="Times New Roman" w:eastAsia="黑体" w:cs="Times New Roman"/>
          <w:kern w:val="0"/>
          <w:sz w:val="31"/>
          <w:szCs w:val="31"/>
        </w:rPr>
      </w:pPr>
    </w:p>
    <w:p w14:paraId="29CDF7D4">
      <w:pPr>
        <w:jc w:val="center"/>
        <w:rPr>
          <w:rFonts w:ascii="Times New Roman" w:hAnsi="Times New Roman" w:eastAsia="黑体" w:cs="Times New Roman"/>
          <w:kern w:val="0"/>
          <w:sz w:val="31"/>
          <w:szCs w:val="31"/>
        </w:rPr>
      </w:pPr>
    </w:p>
    <w:p w14:paraId="22B9C3C7">
      <w:pPr>
        <w:jc w:val="center"/>
        <w:rPr>
          <w:rFonts w:ascii="Times New Roman" w:hAnsi="Times New Roman" w:eastAsia="仿宋" w:cs="Times New Roman"/>
          <w:b/>
          <w:bCs/>
          <w:kern w:val="0"/>
          <w:sz w:val="32"/>
          <w:szCs w:val="32"/>
        </w:rPr>
      </w:pPr>
    </w:p>
    <w:p w14:paraId="685B287E">
      <w:pPr>
        <w:jc w:val="center"/>
        <w:rPr>
          <w:rFonts w:ascii="Times New Roman" w:hAnsi="Times New Roman" w:eastAsia="仿宋" w:cs="Times New Roman"/>
          <w:b/>
          <w:bCs/>
          <w:kern w:val="0"/>
          <w:sz w:val="32"/>
          <w:szCs w:val="32"/>
        </w:rPr>
      </w:pPr>
      <w:r>
        <w:rPr>
          <w:rFonts w:hint="eastAsia" w:ascii="Times New Roman" w:hAnsi="Times New Roman" w:eastAsia="仿宋" w:cs="Times New Roman"/>
          <w:b/>
          <w:bCs/>
          <w:kern w:val="0"/>
          <w:sz w:val="32"/>
          <w:szCs w:val="32"/>
        </w:rPr>
        <w:t>标准编制工作组</w:t>
      </w:r>
    </w:p>
    <w:p w14:paraId="784F7D24">
      <w:pPr>
        <w:jc w:val="center"/>
        <w:rPr>
          <w:rFonts w:ascii="Times New Roman" w:hAnsi="Times New Roman" w:eastAsia="仿宋" w:cs="Times New Roman"/>
          <w:b/>
          <w:bCs/>
          <w:kern w:val="0"/>
          <w:sz w:val="32"/>
          <w:szCs w:val="32"/>
        </w:rPr>
      </w:pPr>
      <w:r>
        <w:rPr>
          <w:rFonts w:ascii="Times New Roman" w:hAnsi="Times New Roman" w:eastAsia="仿宋" w:cs="Times New Roman"/>
          <w:b/>
          <w:bCs/>
          <w:kern w:val="0"/>
          <w:sz w:val="32"/>
          <w:szCs w:val="32"/>
        </w:rPr>
        <w:t>2025年7月</w:t>
      </w:r>
    </w:p>
    <w:p w14:paraId="6473F568">
      <w:pPr>
        <w:jc w:val="center"/>
        <w:rPr>
          <w:rFonts w:ascii="Times New Roman" w:hAnsi="Times New Roman" w:eastAsia="仿宋" w:cs="Times New Roman"/>
          <w:b/>
          <w:bCs/>
          <w:kern w:val="0"/>
          <w:sz w:val="32"/>
          <w:szCs w:val="32"/>
        </w:rPr>
      </w:pPr>
    </w:p>
    <w:p w14:paraId="251DFC51">
      <w:pPr>
        <w:jc w:val="center"/>
        <w:rPr>
          <w:rFonts w:ascii="Times New Roman" w:hAnsi="Times New Roman" w:eastAsia="宋体" w:cs="Times New Roman"/>
          <w:b/>
          <w:bCs/>
          <w:kern w:val="0"/>
          <w:sz w:val="44"/>
          <w:szCs w:val="44"/>
        </w:rPr>
      </w:pPr>
      <w:r>
        <w:rPr>
          <w:rFonts w:ascii="Times New Roman" w:hAnsi="Times New Roman" w:eastAsia="宋体" w:cs="Times New Roman"/>
          <w:b/>
          <w:bCs/>
          <w:kern w:val="0"/>
          <w:sz w:val="44"/>
          <w:szCs w:val="44"/>
        </w:rPr>
        <w:t>湖南省地方标准</w:t>
      </w:r>
    </w:p>
    <w:p w14:paraId="3A0D9686">
      <w:pPr>
        <w:jc w:val="center"/>
        <w:rPr>
          <w:rFonts w:ascii="Times New Roman" w:hAnsi="Times New Roman" w:eastAsia="宋体" w:cs="Times New Roman"/>
          <w:b/>
          <w:bCs/>
          <w:kern w:val="0"/>
          <w:sz w:val="44"/>
          <w:szCs w:val="44"/>
        </w:rPr>
      </w:pPr>
      <w:r>
        <w:rPr>
          <w:rFonts w:ascii="Times New Roman" w:hAnsi="Times New Roman" w:eastAsia="宋体" w:cs="Times New Roman"/>
          <w:b/>
          <w:bCs/>
          <w:kern w:val="0"/>
          <w:sz w:val="44"/>
          <w:szCs w:val="44"/>
        </w:rPr>
        <w:t>《</w:t>
      </w:r>
      <w:r>
        <w:rPr>
          <w:rFonts w:hint="eastAsia" w:ascii="Times New Roman" w:hAnsi="Times New Roman" w:eastAsia="宋体" w:cs="Times New Roman"/>
          <w:b/>
          <w:bCs/>
          <w:kern w:val="0"/>
          <w:sz w:val="44"/>
          <w:szCs w:val="44"/>
        </w:rPr>
        <w:t>困境儿童家庭监护能力评估</w:t>
      </w:r>
      <w:r>
        <w:rPr>
          <w:rFonts w:ascii="Times New Roman" w:hAnsi="Times New Roman" w:eastAsia="宋体" w:cs="Times New Roman"/>
          <w:b/>
          <w:bCs/>
          <w:kern w:val="0"/>
          <w:sz w:val="44"/>
          <w:szCs w:val="44"/>
        </w:rPr>
        <w:t>》</w:t>
      </w:r>
    </w:p>
    <w:p w14:paraId="1ABCEF0F">
      <w:pPr>
        <w:jc w:val="center"/>
        <w:rPr>
          <w:rFonts w:ascii="Times New Roman" w:hAnsi="Times New Roman" w:eastAsia="宋体" w:cs="Times New Roman"/>
          <w:b/>
          <w:bCs/>
          <w:kern w:val="0"/>
          <w:sz w:val="44"/>
          <w:szCs w:val="44"/>
        </w:rPr>
      </w:pPr>
      <w:r>
        <w:rPr>
          <w:rFonts w:ascii="Times New Roman" w:hAnsi="Times New Roman" w:eastAsia="宋体" w:cs="Times New Roman"/>
          <w:b/>
          <w:bCs/>
          <w:kern w:val="0"/>
          <w:sz w:val="44"/>
          <w:szCs w:val="44"/>
        </w:rPr>
        <w:t>编 制 说 明</w:t>
      </w:r>
    </w:p>
    <w:p w14:paraId="105143B4">
      <w:pPr>
        <w:jc w:val="center"/>
        <w:rPr>
          <w:rFonts w:ascii="Times New Roman" w:hAnsi="Times New Roman" w:eastAsia="宋体" w:cs="Times New Roman"/>
          <w:b/>
          <w:bCs/>
          <w:kern w:val="0"/>
          <w:sz w:val="44"/>
          <w:szCs w:val="44"/>
        </w:rPr>
      </w:pPr>
    </w:p>
    <w:p w14:paraId="7243ECA1">
      <w:pPr>
        <w:keepNext w:val="0"/>
        <w:keepLines w:val="0"/>
        <w:pageBreakBefore w:val="0"/>
        <w:widowControl/>
        <w:kinsoku/>
        <w:wordWrap/>
        <w:overflowPunct/>
        <w:topLinePunct w:val="0"/>
        <w:bidi w:val="0"/>
        <w:adjustRightInd/>
        <w:snapToGrid/>
        <w:spacing w:line="600" w:lineRule="exact"/>
        <w:ind w:right="0" w:firstLine="640" w:firstLineChars="200"/>
        <w:textAlignment w:val="auto"/>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一、</w:t>
      </w:r>
      <w:r>
        <w:rPr>
          <w:rFonts w:ascii="Times New Roman" w:hAnsi="Times New Roman" w:eastAsia="黑体" w:cs="Times New Roman"/>
          <w:bCs/>
          <w:kern w:val="0"/>
          <w:sz w:val="32"/>
          <w:szCs w:val="32"/>
        </w:rPr>
        <w:t>项目背景</w:t>
      </w:r>
    </w:p>
    <w:p w14:paraId="7E96E3C3">
      <w:pPr>
        <w:keepNext w:val="0"/>
        <w:keepLines w:val="0"/>
        <w:pageBreakBefore w:val="0"/>
        <w:kinsoku/>
        <w:wordWrap/>
        <w:overflowPunct/>
        <w:topLinePunct w:val="0"/>
        <w:bidi w:val="0"/>
        <w:adjustRightInd/>
        <w:snapToGrid/>
        <w:spacing w:line="600" w:lineRule="exact"/>
        <w:ind w:right="0" w:firstLine="640" w:firstLineChars="200"/>
        <w:textAlignment w:val="auto"/>
        <w:rPr>
          <w:rFonts w:ascii="仿宋" w:hAnsi="仿宋" w:eastAsia="仿宋" w:cs="宋体"/>
          <w:color w:val="000000"/>
          <w:kern w:val="0"/>
          <w:sz w:val="32"/>
          <w:szCs w:val="32"/>
        </w:rPr>
      </w:pPr>
      <w:r>
        <w:rPr>
          <w:rFonts w:ascii="仿宋" w:hAnsi="仿宋" w:eastAsia="仿宋" w:cs="宋体"/>
          <w:color w:val="000000"/>
          <w:kern w:val="0"/>
          <w:sz w:val="32"/>
          <w:szCs w:val="32"/>
        </w:rPr>
        <w:t>儿童健康成长事关国家和民族未来，事关千千万万家庭幸福安康。</w:t>
      </w:r>
      <w:r>
        <w:rPr>
          <w:rFonts w:hint="eastAsia" w:ascii="仿宋" w:hAnsi="仿宋" w:eastAsia="仿宋" w:cs="宋体"/>
          <w:color w:val="000000"/>
          <w:kern w:val="0"/>
          <w:sz w:val="32"/>
          <w:szCs w:val="32"/>
        </w:rPr>
        <w:t>培养好少年儿童是一项战略任务，事关长远。困境儿童是儿童群体中的一个特殊群体，是需要重点关注、格外关爱关心的弱势儿童群体。家庭监护是保障困境儿童健康成长的基础，良好的家庭监护有利于困境儿童的健康成长。压实困境儿童家庭监护的第一主体责任，提高困境儿童家庭监护能力，做好困境儿童救助保障和关爱保护工作是保障困境儿童健康成长的重要内容。</w:t>
      </w:r>
    </w:p>
    <w:p w14:paraId="4B2ECD8F">
      <w:pPr>
        <w:keepNext w:val="0"/>
        <w:keepLines w:val="0"/>
        <w:pageBreakBefore w:val="0"/>
        <w:kinsoku/>
        <w:wordWrap/>
        <w:overflowPunct/>
        <w:topLinePunct w:val="0"/>
        <w:bidi w:val="0"/>
        <w:adjustRightInd/>
        <w:snapToGrid/>
        <w:spacing w:line="600" w:lineRule="exact"/>
        <w:ind w:right="0" w:firstLine="640" w:firstLineChars="200"/>
        <w:textAlignment w:val="auto"/>
        <w:rPr>
          <w:rFonts w:ascii="仿宋" w:hAnsi="仿宋" w:eastAsia="仿宋" w:cs="宋体"/>
          <w:color w:val="000000"/>
          <w:kern w:val="0"/>
          <w:sz w:val="32"/>
          <w:szCs w:val="32"/>
        </w:rPr>
      </w:pPr>
      <w:r>
        <w:rPr>
          <w:rFonts w:hint="eastAsia" w:ascii="仿宋" w:hAnsi="仿宋" w:eastAsia="仿宋" w:cs="宋体"/>
          <w:color w:val="000000"/>
          <w:kern w:val="0"/>
          <w:sz w:val="32"/>
          <w:szCs w:val="32"/>
        </w:rPr>
        <w:t>近年来，</w:t>
      </w:r>
      <w:r>
        <w:rPr>
          <w:rFonts w:ascii="仿宋" w:hAnsi="仿宋" w:eastAsia="仿宋" w:cs="宋体"/>
          <w:color w:val="000000"/>
          <w:kern w:val="0"/>
          <w:sz w:val="32"/>
          <w:szCs w:val="32"/>
        </w:rPr>
        <w:t>党中央、</w:t>
      </w:r>
      <w:r>
        <w:rPr>
          <w:rFonts w:hint="eastAsia" w:ascii="仿宋" w:hAnsi="仿宋" w:eastAsia="仿宋" w:cs="宋体"/>
          <w:color w:val="000000"/>
          <w:kern w:val="0"/>
          <w:sz w:val="32"/>
          <w:szCs w:val="32"/>
        </w:rPr>
        <w:t>国务院高度重视困境儿童保障体系的建设</w:t>
      </w:r>
      <w:r>
        <w:rPr>
          <w:rFonts w:ascii="仿宋" w:hAnsi="仿宋" w:eastAsia="仿宋" w:cs="宋体"/>
          <w:color w:val="000000"/>
          <w:kern w:val="0"/>
          <w:sz w:val="32"/>
          <w:szCs w:val="32"/>
        </w:rPr>
        <w:t>和困境儿童关爱服务</w:t>
      </w:r>
      <w:r>
        <w:rPr>
          <w:rFonts w:hint="eastAsia" w:ascii="仿宋" w:hAnsi="仿宋" w:eastAsia="仿宋" w:cs="宋体"/>
          <w:color w:val="000000"/>
          <w:kern w:val="0"/>
          <w:sz w:val="32"/>
          <w:szCs w:val="32"/>
        </w:rPr>
        <w:t>工作，</w:t>
      </w:r>
      <w:r>
        <w:rPr>
          <w:rFonts w:ascii="仿宋" w:hAnsi="仿宋" w:eastAsia="仿宋" w:cs="宋体"/>
          <w:color w:val="000000"/>
          <w:kern w:val="0"/>
          <w:sz w:val="32"/>
          <w:szCs w:val="32"/>
        </w:rPr>
        <w:t>作出了一系列重大决策部署</w:t>
      </w:r>
      <w:r>
        <w:rPr>
          <w:rFonts w:hint="eastAsia" w:ascii="仿宋" w:hAnsi="仿宋" w:eastAsia="仿宋" w:cs="宋体"/>
          <w:color w:val="000000"/>
          <w:kern w:val="0"/>
          <w:sz w:val="32"/>
          <w:szCs w:val="32"/>
        </w:rPr>
        <w:t>，为做好困境儿童的保障工作，为促进儿童福利事业的健康发展、完善困境儿童保障制度，国家颁布了一系列政策文件，如：《国务院关于加强困境儿童保障工作的意见》（国发〔2016〕36号）、《关于进一步健全农村留守儿童和困境儿童关爱服务体系的意见》（民发〔2019〕34号）、《国务院关于印发中国妇女发展纲要和中国儿童发展纲要的通知》（国发〔2021〕16号），2</w:t>
      </w:r>
      <w:r>
        <w:rPr>
          <w:rFonts w:ascii="仿宋" w:hAnsi="仿宋" w:eastAsia="仿宋" w:cs="宋体"/>
          <w:color w:val="000000"/>
          <w:kern w:val="0"/>
          <w:sz w:val="32"/>
          <w:szCs w:val="32"/>
        </w:rPr>
        <w:t>023</w:t>
      </w:r>
      <w:r>
        <w:rPr>
          <w:rFonts w:hint="eastAsia" w:ascii="仿宋" w:hAnsi="仿宋" w:eastAsia="仿宋" w:cs="宋体"/>
          <w:color w:val="000000"/>
          <w:kern w:val="0"/>
          <w:sz w:val="32"/>
          <w:szCs w:val="32"/>
        </w:rPr>
        <w:t>年1</w:t>
      </w:r>
      <w:r>
        <w:rPr>
          <w:rFonts w:ascii="仿宋" w:hAnsi="仿宋" w:eastAsia="仿宋" w:cs="宋体"/>
          <w:color w:val="000000"/>
          <w:kern w:val="0"/>
          <w:sz w:val="32"/>
          <w:szCs w:val="32"/>
        </w:rPr>
        <w:t>1</w:t>
      </w:r>
      <w:r>
        <w:rPr>
          <w:rFonts w:hint="eastAsia" w:ascii="仿宋" w:hAnsi="仿宋" w:eastAsia="仿宋" w:cs="宋体"/>
          <w:color w:val="000000"/>
          <w:kern w:val="0"/>
          <w:sz w:val="32"/>
          <w:szCs w:val="32"/>
        </w:rPr>
        <w:t>月，</w:t>
      </w:r>
      <w:r>
        <w:rPr>
          <w:rFonts w:ascii="仿宋" w:hAnsi="仿宋" w:eastAsia="仿宋" w:cs="宋体"/>
          <w:color w:val="000000"/>
          <w:kern w:val="0"/>
          <w:sz w:val="32"/>
          <w:szCs w:val="32"/>
        </w:rPr>
        <w:t>民政部等十五部门联合印发</w:t>
      </w:r>
      <w:r>
        <w:rPr>
          <w:rFonts w:hint="eastAsia" w:ascii="仿宋" w:hAnsi="仿宋" w:eastAsia="仿宋" w:cs="宋体"/>
          <w:color w:val="000000"/>
          <w:kern w:val="0"/>
          <w:sz w:val="32"/>
          <w:szCs w:val="32"/>
        </w:rPr>
        <w:t>《关于印发&lt;农村留守儿童和困境儿童关爱服务质量提升三年行动方案&gt;的通知》（民发〔2023〕62号），2</w:t>
      </w:r>
      <w:r>
        <w:rPr>
          <w:rFonts w:ascii="仿宋" w:hAnsi="仿宋" w:eastAsia="仿宋" w:cs="宋体"/>
          <w:color w:val="000000"/>
          <w:kern w:val="0"/>
          <w:sz w:val="32"/>
          <w:szCs w:val="32"/>
        </w:rPr>
        <w:t>025</w:t>
      </w:r>
      <w:r>
        <w:rPr>
          <w:rFonts w:hint="eastAsia" w:ascii="仿宋" w:hAnsi="仿宋" w:eastAsia="仿宋" w:cs="宋体"/>
          <w:color w:val="000000"/>
          <w:kern w:val="0"/>
          <w:sz w:val="32"/>
          <w:szCs w:val="32"/>
        </w:rPr>
        <w:t>年5月，国务院办公厅印发《关于进一步加强困境儿童福利保障工作的意见》（国办发〔20</w:t>
      </w:r>
      <w:r>
        <w:rPr>
          <w:rFonts w:ascii="仿宋" w:hAnsi="仿宋" w:eastAsia="仿宋" w:cs="宋体"/>
          <w:color w:val="000000"/>
          <w:kern w:val="0"/>
          <w:sz w:val="32"/>
          <w:szCs w:val="32"/>
        </w:rPr>
        <w:t>25</w:t>
      </w:r>
      <w:r>
        <w:rPr>
          <w:rFonts w:hint="eastAsia" w:ascii="仿宋" w:hAnsi="仿宋" w:eastAsia="仿宋" w:cs="宋体"/>
          <w:color w:val="000000"/>
          <w:kern w:val="0"/>
          <w:sz w:val="32"/>
          <w:szCs w:val="32"/>
        </w:rPr>
        <w:t>〕</w:t>
      </w:r>
      <w:r>
        <w:rPr>
          <w:rFonts w:ascii="仿宋" w:hAnsi="仿宋" w:eastAsia="仿宋" w:cs="宋体"/>
          <w:color w:val="000000"/>
          <w:kern w:val="0"/>
          <w:sz w:val="32"/>
          <w:szCs w:val="32"/>
        </w:rPr>
        <w:t>18</w:t>
      </w:r>
      <w:r>
        <w:rPr>
          <w:rFonts w:hint="eastAsia" w:ascii="仿宋" w:hAnsi="仿宋" w:eastAsia="仿宋" w:cs="宋体"/>
          <w:color w:val="000000"/>
          <w:kern w:val="0"/>
          <w:sz w:val="32"/>
          <w:szCs w:val="32"/>
        </w:rPr>
        <w:t>号），明确要完善困境儿童精准监测摸排机制，这一系列困境儿童政策文件的出台，为困境儿童保障体系建设提供了基础，也为制定保障困境儿童相关标准指明了方向。困境儿童家庭监护能力评估是保障困境儿童精准救助和促进困境儿童健康成长的重要内容。</w:t>
      </w:r>
      <w:r>
        <w:rPr>
          <w:rFonts w:hint="eastAsia" w:ascii="仿宋" w:hAnsi="仿宋" w:eastAsia="仿宋" w:cs="宋体"/>
          <w:bCs/>
          <w:color w:val="000000"/>
          <w:kern w:val="0"/>
          <w:sz w:val="32"/>
          <w:szCs w:val="32"/>
        </w:rPr>
        <w:t>为贯彻落实困境儿童保护相关政策文件精神，把困境儿童保障工作落到实处，首先要做到的就是对困境儿童的精准识别和评估，只有评估出服务对象的困境需求，才能将之后的政策服务覆盖到位，使困境儿童真正享受到政策福利，进而推进社会和谐稳定，解决社会建设中的突出问题。</w:t>
      </w:r>
    </w:p>
    <w:p w14:paraId="7D26F4EE">
      <w:pPr>
        <w:keepNext w:val="0"/>
        <w:keepLines w:val="0"/>
        <w:pageBreakBefore w:val="0"/>
        <w:kinsoku/>
        <w:wordWrap/>
        <w:overflowPunct/>
        <w:topLinePunct w:val="0"/>
        <w:bidi w:val="0"/>
        <w:adjustRightInd/>
        <w:snapToGrid/>
        <w:spacing w:line="600" w:lineRule="exact"/>
        <w:ind w:right="0" w:firstLine="640" w:firstLineChars="200"/>
        <w:textAlignment w:val="auto"/>
        <w:rPr>
          <w:rFonts w:ascii="仿宋" w:hAnsi="仿宋" w:eastAsia="仿宋" w:cs="宋体"/>
          <w:color w:val="000000"/>
          <w:kern w:val="0"/>
          <w:sz w:val="32"/>
          <w:szCs w:val="32"/>
        </w:rPr>
      </w:pPr>
      <w:r>
        <w:rPr>
          <w:rFonts w:hint="eastAsia" w:ascii="仿宋" w:hAnsi="仿宋" w:eastAsia="仿宋" w:cs="宋体"/>
          <w:color w:val="000000"/>
          <w:kern w:val="0"/>
          <w:sz w:val="32"/>
          <w:szCs w:val="32"/>
        </w:rPr>
        <w:t>湖南省各级民政部门和未成年人救助保护机构，贯彻落实各级文件要求，坚持主动作为，提升统筹层级、加大投入力度，已建立了一支含儿童督导员、儿童主任、儿童服务社会组织在内的基层工作者队伍。由于困境儿童成因较为复杂，虽然很多基层队伍人员具有较为丰富的工作经验，但在困境儿童家庭监护能力评估的实际工作中仍存在标准不一致、实际操作有困难的情况。目前，国家层面暂未发布困境儿童家庭监护能力评估的国家标准，湖南省省级层面也暂未发布困境儿童家庭监护能力评估相关地方标准。因此，面对国家政策有要求，实际工作有需求的现实情况，亟需制定困境儿童家庭监护能力评估相关湖南省地方标准，运用标准化手段和方法，明确困境儿童家庭监护能力评估内容、方法，细化评估指标，规范评估过程及结果，为我省困境儿童家庭监护能力评估工作提供科学、统一、规范和可操作的评估依据。</w:t>
      </w:r>
    </w:p>
    <w:p w14:paraId="4124791B">
      <w:pPr>
        <w:keepNext w:val="0"/>
        <w:keepLines w:val="0"/>
        <w:pageBreakBefore w:val="0"/>
        <w:kinsoku/>
        <w:wordWrap/>
        <w:overflowPunct/>
        <w:topLinePunct w:val="0"/>
        <w:bidi w:val="0"/>
        <w:adjustRightInd/>
        <w:snapToGrid/>
        <w:spacing w:line="600" w:lineRule="exact"/>
        <w:ind w:right="0" w:firstLine="640" w:firstLineChars="200"/>
        <w:textAlignment w:val="auto"/>
        <w:rPr>
          <w:rFonts w:ascii="仿宋" w:hAnsi="仿宋" w:eastAsia="仿宋" w:cs="宋体"/>
          <w:color w:val="000000"/>
          <w:kern w:val="0"/>
          <w:sz w:val="32"/>
          <w:szCs w:val="32"/>
        </w:rPr>
      </w:pPr>
      <w:r>
        <w:rPr>
          <w:rFonts w:hint="eastAsia" w:ascii="仿宋" w:hAnsi="仿宋" w:eastAsia="仿宋" w:cs="宋体"/>
          <w:color w:val="000000"/>
          <w:kern w:val="0"/>
          <w:sz w:val="32"/>
          <w:szCs w:val="32"/>
        </w:rPr>
        <w:t>湖南省地方标准《困境儿童家庭监护能力评估》的制定，</w:t>
      </w:r>
      <w:r>
        <w:rPr>
          <w:rFonts w:hint="eastAsia" w:ascii="仿宋" w:hAnsi="仿宋" w:eastAsia="仿宋" w:cs="宋体"/>
          <w:bCs/>
          <w:color w:val="000000"/>
          <w:kern w:val="0"/>
          <w:sz w:val="32"/>
          <w:szCs w:val="32"/>
        </w:rPr>
        <w:t>是全面落实国家有关文件精神，更好地开展困境儿童风险评估服务工作的创新之举。</w:t>
      </w:r>
      <w:r>
        <w:rPr>
          <w:rFonts w:hint="eastAsia" w:ascii="仿宋" w:hAnsi="仿宋" w:eastAsia="仿宋" w:cs="宋体"/>
          <w:color w:val="000000"/>
          <w:kern w:val="0"/>
          <w:sz w:val="32"/>
          <w:szCs w:val="32"/>
        </w:rPr>
        <w:t>该标准的制定和实施有效填补了我省困境儿童家庭监护能力评估领域标准的空白，能为基层儿童工作人员进行监护困境未成年人家庭评估提供依据，对推动困境儿童家庭监护能力评估工作规范化建设，进一步提升我省困境儿童家庭监护能力评估工作水平，健全完善我省困境儿童关爱保障体系，提高困境儿童关爱服务质量，压实家庭监护主体责任，监督家庭监护职责履行，促进家庭监护能力提升、健全细化困境儿童分类保障措施等具有重要意义。同时，也能为开展家庭监护干预工作提供科学参考依据。</w:t>
      </w:r>
    </w:p>
    <w:p w14:paraId="28E1D311">
      <w:pPr>
        <w:keepNext w:val="0"/>
        <w:keepLines w:val="0"/>
        <w:pageBreakBefore w:val="0"/>
        <w:kinsoku/>
        <w:wordWrap/>
        <w:overflowPunct/>
        <w:topLinePunct w:val="0"/>
        <w:bidi w:val="0"/>
        <w:adjustRightInd/>
        <w:snapToGrid/>
        <w:spacing w:line="600" w:lineRule="exact"/>
        <w:ind w:right="0" w:firstLine="643" w:firstLineChars="200"/>
        <w:textAlignment w:val="auto"/>
        <w:rPr>
          <w:rFonts w:ascii="Times New Roman" w:hAnsi="Times New Roman" w:eastAsia="黑体" w:cs="Times New Roman"/>
          <w:b/>
          <w:kern w:val="0"/>
          <w:sz w:val="32"/>
          <w:szCs w:val="32"/>
        </w:rPr>
      </w:pPr>
      <w:r>
        <w:rPr>
          <w:rFonts w:ascii="Times New Roman" w:hAnsi="Times New Roman" w:eastAsia="黑体" w:cs="Times New Roman"/>
          <w:b/>
          <w:kern w:val="0"/>
          <w:sz w:val="32"/>
          <w:szCs w:val="32"/>
        </w:rPr>
        <w:t>二、工作简况</w:t>
      </w:r>
    </w:p>
    <w:p w14:paraId="547B0D96">
      <w:pPr>
        <w:keepNext w:val="0"/>
        <w:keepLines w:val="0"/>
        <w:pageBreakBefore w:val="0"/>
        <w:kinsoku/>
        <w:wordWrap/>
        <w:overflowPunct/>
        <w:topLinePunct w:val="0"/>
        <w:bidi w:val="0"/>
        <w:adjustRightInd/>
        <w:snapToGrid/>
        <w:spacing w:line="600" w:lineRule="exact"/>
        <w:ind w:right="0" w:firstLine="643" w:firstLineChars="200"/>
        <w:jc w:val="left"/>
        <w:textAlignment w:val="auto"/>
        <w:rPr>
          <w:rFonts w:ascii="Times New Roman" w:hAnsi="Times New Roman" w:eastAsia="楷体" w:cs="Times New Roman"/>
          <w:b/>
          <w:bCs/>
          <w:kern w:val="0"/>
          <w:sz w:val="32"/>
          <w:szCs w:val="32"/>
        </w:rPr>
      </w:pPr>
      <w:r>
        <w:rPr>
          <w:rFonts w:ascii="Times New Roman" w:hAnsi="Times New Roman" w:eastAsia="楷体" w:cs="Times New Roman"/>
          <w:b/>
          <w:bCs/>
          <w:kern w:val="0"/>
          <w:sz w:val="32"/>
          <w:szCs w:val="32"/>
        </w:rPr>
        <w:t>（一）任务来源</w:t>
      </w:r>
    </w:p>
    <w:p w14:paraId="46E27A76">
      <w:pPr>
        <w:keepNext w:val="0"/>
        <w:keepLines w:val="0"/>
        <w:pageBreakBefore w:val="0"/>
        <w:kinsoku/>
        <w:wordWrap/>
        <w:overflowPunct/>
        <w:topLinePunct w:val="0"/>
        <w:bidi w:val="0"/>
        <w:adjustRightInd/>
        <w:snapToGrid/>
        <w:spacing w:line="600" w:lineRule="exact"/>
        <w:ind w:right="0" w:firstLine="640" w:firstLineChars="200"/>
        <w:textAlignment w:val="auto"/>
        <w:rPr>
          <w:rFonts w:ascii="仿宋" w:hAnsi="仿宋" w:eastAsia="仿宋" w:cs="宋体"/>
          <w:color w:val="000000"/>
          <w:kern w:val="0"/>
          <w:sz w:val="32"/>
          <w:szCs w:val="32"/>
        </w:rPr>
      </w:pPr>
      <w:r>
        <w:rPr>
          <w:rFonts w:hint="eastAsia" w:ascii="仿宋" w:hAnsi="仿宋" w:eastAsia="仿宋" w:cs="宋体"/>
          <w:color w:val="000000"/>
          <w:kern w:val="0"/>
          <w:sz w:val="32"/>
          <w:szCs w:val="32"/>
        </w:rPr>
        <w:t>2</w:t>
      </w:r>
      <w:r>
        <w:rPr>
          <w:rFonts w:ascii="仿宋" w:hAnsi="仿宋" w:eastAsia="仿宋" w:cs="宋体"/>
          <w:color w:val="000000"/>
          <w:kern w:val="0"/>
          <w:sz w:val="32"/>
          <w:szCs w:val="32"/>
        </w:rPr>
        <w:t>025</w:t>
      </w:r>
      <w:r>
        <w:rPr>
          <w:rFonts w:hint="eastAsia" w:ascii="仿宋" w:hAnsi="仿宋" w:eastAsia="仿宋" w:cs="宋体"/>
          <w:color w:val="000000"/>
          <w:kern w:val="0"/>
          <w:sz w:val="32"/>
          <w:szCs w:val="32"/>
        </w:rPr>
        <w:t>年</w:t>
      </w:r>
      <w:r>
        <w:rPr>
          <w:rFonts w:ascii="仿宋" w:hAnsi="仿宋" w:eastAsia="仿宋" w:cs="宋体"/>
          <w:color w:val="000000"/>
          <w:kern w:val="0"/>
          <w:sz w:val="32"/>
          <w:szCs w:val="32"/>
        </w:rPr>
        <w:t>2</w:t>
      </w:r>
      <w:r>
        <w:rPr>
          <w:rFonts w:hint="eastAsia" w:ascii="仿宋" w:hAnsi="仿宋" w:eastAsia="仿宋" w:cs="宋体"/>
          <w:color w:val="000000"/>
          <w:kern w:val="0"/>
          <w:sz w:val="32"/>
          <w:szCs w:val="32"/>
        </w:rPr>
        <w:t>月，根据湖南省市场监督管理局《关于下达202</w:t>
      </w:r>
      <w:r>
        <w:rPr>
          <w:rFonts w:ascii="仿宋" w:hAnsi="仿宋" w:eastAsia="仿宋" w:cs="宋体"/>
          <w:color w:val="000000"/>
          <w:kern w:val="0"/>
          <w:sz w:val="32"/>
          <w:szCs w:val="32"/>
        </w:rPr>
        <w:t>5</w:t>
      </w:r>
      <w:r>
        <w:rPr>
          <w:rFonts w:hint="eastAsia" w:ascii="仿宋" w:hAnsi="仿宋" w:eastAsia="仿宋" w:cs="宋体"/>
          <w:color w:val="000000"/>
          <w:kern w:val="0"/>
          <w:sz w:val="32"/>
          <w:szCs w:val="32"/>
        </w:rPr>
        <w:t>年度第1批地方标准制定项目计划的通知》，由南县民政局组织申报的地方标准《</w:t>
      </w:r>
      <w:bookmarkStart w:id="1" w:name="_Hlk204162724"/>
      <w:r>
        <w:rPr>
          <w:rFonts w:hint="eastAsia" w:ascii="仿宋" w:hAnsi="仿宋" w:eastAsia="仿宋" w:cs="宋体"/>
          <w:color w:val="000000"/>
          <w:kern w:val="0"/>
          <w:sz w:val="32"/>
          <w:szCs w:val="32"/>
        </w:rPr>
        <w:t>困境儿童家庭监护能力评估</w:t>
      </w:r>
      <w:bookmarkEnd w:id="1"/>
      <w:r>
        <w:rPr>
          <w:rFonts w:hint="eastAsia" w:ascii="仿宋" w:hAnsi="仿宋" w:eastAsia="仿宋" w:cs="宋体"/>
          <w:color w:val="000000"/>
          <w:kern w:val="0"/>
          <w:sz w:val="32"/>
          <w:szCs w:val="32"/>
        </w:rPr>
        <w:t>》制定项目成功获批立项。</w:t>
      </w:r>
    </w:p>
    <w:p w14:paraId="6A29A065">
      <w:pPr>
        <w:keepNext w:val="0"/>
        <w:keepLines w:val="0"/>
        <w:pageBreakBefore w:val="0"/>
        <w:kinsoku/>
        <w:wordWrap/>
        <w:overflowPunct/>
        <w:topLinePunct w:val="0"/>
        <w:bidi w:val="0"/>
        <w:adjustRightInd/>
        <w:snapToGrid/>
        <w:spacing w:line="600" w:lineRule="exact"/>
        <w:ind w:right="0" w:firstLine="643" w:firstLineChars="200"/>
        <w:jc w:val="left"/>
        <w:textAlignment w:val="auto"/>
        <w:rPr>
          <w:rFonts w:ascii="Times New Roman" w:hAnsi="Times New Roman" w:eastAsia="楷体" w:cs="Times New Roman"/>
          <w:b/>
          <w:bCs/>
          <w:kern w:val="0"/>
          <w:sz w:val="32"/>
          <w:szCs w:val="32"/>
        </w:rPr>
      </w:pPr>
      <w:r>
        <w:rPr>
          <w:rFonts w:ascii="Times New Roman" w:hAnsi="Times New Roman" w:eastAsia="楷体" w:cs="Times New Roman"/>
          <w:b/>
          <w:bCs/>
          <w:kern w:val="0"/>
          <w:sz w:val="32"/>
          <w:szCs w:val="32"/>
        </w:rPr>
        <w:t>（二）协作单位</w:t>
      </w:r>
    </w:p>
    <w:p w14:paraId="6AD2DC90">
      <w:pPr>
        <w:keepNext w:val="0"/>
        <w:keepLines w:val="0"/>
        <w:pageBreakBefore w:val="0"/>
        <w:kinsoku/>
        <w:wordWrap/>
        <w:overflowPunct/>
        <w:topLinePunct w:val="0"/>
        <w:bidi w:val="0"/>
        <w:adjustRightInd/>
        <w:snapToGrid/>
        <w:spacing w:line="600" w:lineRule="exact"/>
        <w:ind w:right="0" w:firstLine="640" w:firstLineChars="200"/>
        <w:textAlignment w:val="auto"/>
        <w:rPr>
          <w:rFonts w:eastAsia="仿宋"/>
          <w:sz w:val="32"/>
          <w:szCs w:val="32"/>
        </w:rPr>
      </w:pPr>
      <w:r>
        <w:rPr>
          <w:rFonts w:hint="eastAsia" w:ascii="仿宋" w:hAnsi="仿宋" w:eastAsia="仿宋" w:cs="宋体"/>
          <w:color w:val="000000"/>
          <w:kern w:val="0"/>
          <w:sz w:val="32"/>
          <w:szCs w:val="32"/>
        </w:rPr>
        <w:t>地方标准《困境儿童家庭监护能力评估》</w:t>
      </w:r>
      <w:r>
        <w:rPr>
          <w:rFonts w:hint="eastAsia" w:eastAsia="仿宋"/>
          <w:sz w:val="32"/>
          <w:szCs w:val="32"/>
        </w:rPr>
        <w:t>项目承担单位为南县民政局，行业主管部门和技术归口单位为湖南省民政厅。参与标准编制的单位有：湖南省民政厅、南县民政局、益阳市民政局、涟源市民政局。</w:t>
      </w:r>
    </w:p>
    <w:p w14:paraId="19EADDB4">
      <w:pPr>
        <w:keepNext w:val="0"/>
        <w:keepLines w:val="0"/>
        <w:pageBreakBefore w:val="0"/>
        <w:kinsoku/>
        <w:wordWrap/>
        <w:overflowPunct/>
        <w:topLinePunct w:val="0"/>
        <w:bidi w:val="0"/>
        <w:adjustRightInd/>
        <w:snapToGrid/>
        <w:spacing w:line="600" w:lineRule="exact"/>
        <w:ind w:right="0" w:firstLine="643" w:firstLineChars="200"/>
        <w:textAlignment w:val="auto"/>
        <w:rPr>
          <w:rFonts w:ascii="楷体" w:hAnsi="楷体" w:eastAsia="楷体" w:cs="楷体"/>
          <w:b/>
          <w:bCs/>
          <w:kern w:val="0"/>
          <w:sz w:val="32"/>
          <w:szCs w:val="32"/>
        </w:rPr>
      </w:pPr>
      <w:r>
        <w:rPr>
          <w:rFonts w:hint="eastAsia" w:ascii="楷体" w:hAnsi="楷体" w:eastAsia="楷体" w:cs="楷体"/>
          <w:b/>
          <w:bCs/>
          <w:kern w:val="0"/>
          <w:sz w:val="32"/>
          <w:szCs w:val="32"/>
        </w:rPr>
        <w:t>（三）标准参编人员及分工</w:t>
      </w:r>
    </w:p>
    <w:p w14:paraId="03B44271">
      <w:pPr>
        <w:keepNext w:val="0"/>
        <w:keepLines w:val="0"/>
        <w:pageBreakBefore w:val="0"/>
        <w:kinsoku/>
        <w:wordWrap/>
        <w:overflowPunct/>
        <w:topLinePunct w:val="0"/>
        <w:bidi w:val="0"/>
        <w:adjustRightInd/>
        <w:snapToGrid/>
        <w:spacing w:line="600" w:lineRule="exact"/>
        <w:ind w:right="0" w:firstLine="640" w:firstLineChars="200"/>
        <w:textAlignment w:val="auto"/>
        <w:rPr>
          <w:rFonts w:eastAsia="仿宋"/>
          <w:sz w:val="32"/>
          <w:szCs w:val="32"/>
        </w:rPr>
      </w:pPr>
      <w:r>
        <w:rPr>
          <w:rFonts w:hint="eastAsia" w:eastAsia="仿宋"/>
          <w:sz w:val="32"/>
          <w:szCs w:val="32"/>
        </w:rPr>
        <w:t>标准参编人员分工见表1。</w:t>
      </w:r>
    </w:p>
    <w:p w14:paraId="74DD833E">
      <w:pPr>
        <w:keepNext w:val="0"/>
        <w:keepLines w:val="0"/>
        <w:pageBreakBefore w:val="0"/>
        <w:kinsoku/>
        <w:wordWrap/>
        <w:overflowPunct/>
        <w:topLinePunct w:val="0"/>
        <w:bidi w:val="0"/>
        <w:adjustRightInd/>
        <w:snapToGrid/>
        <w:spacing w:line="600" w:lineRule="exact"/>
        <w:ind w:right="0" w:firstLine="640" w:firstLineChars="200"/>
        <w:jc w:val="center"/>
        <w:textAlignment w:val="auto"/>
        <w:rPr>
          <w:rFonts w:ascii="仿宋" w:hAnsi="仿宋" w:eastAsia="仿宋"/>
          <w:sz w:val="32"/>
          <w:szCs w:val="32"/>
        </w:rPr>
      </w:pPr>
      <w:r>
        <w:rPr>
          <w:rFonts w:hint="eastAsia" w:ascii="仿宋" w:hAnsi="仿宋" w:eastAsia="仿宋"/>
          <w:sz w:val="32"/>
          <w:szCs w:val="32"/>
        </w:rPr>
        <w:t>表1</w:t>
      </w:r>
      <w:r>
        <w:rPr>
          <w:rFonts w:ascii="仿宋" w:hAnsi="仿宋" w:eastAsia="仿宋"/>
          <w:sz w:val="32"/>
          <w:szCs w:val="32"/>
        </w:rPr>
        <w:t xml:space="preserve"> 参编人员分工表</w:t>
      </w:r>
    </w:p>
    <w:tbl>
      <w:tblPr>
        <w:tblStyle w:val="8"/>
        <w:tblW w:w="9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160"/>
        <w:gridCol w:w="3046"/>
        <w:gridCol w:w="2030"/>
        <w:gridCol w:w="2175"/>
      </w:tblGrid>
      <w:tr w14:paraId="6F275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blHeader/>
          <w:jc w:val="center"/>
        </w:trPr>
        <w:tc>
          <w:tcPr>
            <w:tcW w:w="865" w:type="dxa"/>
            <w:vAlign w:val="center"/>
          </w:tcPr>
          <w:p w14:paraId="677203B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ascii="Times New Roman" w:hAnsi="Times New Roman" w:eastAsia="仿宋" w:cs="Times New Roman"/>
                <w:b/>
                <w:bCs/>
                <w:kern w:val="0"/>
                <w:sz w:val="24"/>
                <w:szCs w:val="24"/>
              </w:rPr>
            </w:pPr>
            <w:r>
              <w:rPr>
                <w:rFonts w:ascii="Times New Roman" w:hAnsi="Times New Roman" w:eastAsia="仿宋" w:cs="Times New Roman"/>
                <w:b/>
                <w:bCs/>
                <w:kern w:val="0"/>
                <w:sz w:val="24"/>
                <w:szCs w:val="24"/>
              </w:rPr>
              <w:t>序号</w:t>
            </w:r>
          </w:p>
        </w:tc>
        <w:tc>
          <w:tcPr>
            <w:tcW w:w="1160" w:type="dxa"/>
            <w:vAlign w:val="center"/>
          </w:tcPr>
          <w:p w14:paraId="044AC6A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ascii="Times New Roman" w:hAnsi="Times New Roman" w:eastAsia="仿宋" w:cs="Times New Roman"/>
                <w:b/>
                <w:bCs/>
                <w:kern w:val="0"/>
                <w:sz w:val="24"/>
                <w:szCs w:val="24"/>
              </w:rPr>
            </w:pPr>
            <w:r>
              <w:rPr>
                <w:rFonts w:ascii="Times New Roman" w:hAnsi="Times New Roman" w:eastAsia="仿宋" w:cs="Times New Roman"/>
                <w:b/>
                <w:bCs/>
                <w:kern w:val="0"/>
                <w:sz w:val="24"/>
                <w:szCs w:val="24"/>
              </w:rPr>
              <w:t>姓</w:t>
            </w:r>
            <w:r>
              <w:rPr>
                <w:rFonts w:hint="eastAsia" w:ascii="Times New Roman" w:hAnsi="Times New Roman" w:eastAsia="仿宋" w:cs="Times New Roman"/>
                <w:b/>
                <w:bCs/>
                <w:kern w:val="0"/>
                <w:sz w:val="24"/>
                <w:szCs w:val="24"/>
              </w:rPr>
              <w:t xml:space="preserve"> </w:t>
            </w:r>
            <w:r>
              <w:rPr>
                <w:rFonts w:ascii="Times New Roman" w:hAnsi="Times New Roman" w:eastAsia="仿宋" w:cs="Times New Roman"/>
                <w:b/>
                <w:bCs/>
                <w:kern w:val="0"/>
                <w:sz w:val="24"/>
                <w:szCs w:val="24"/>
              </w:rPr>
              <w:t>名</w:t>
            </w:r>
          </w:p>
        </w:tc>
        <w:tc>
          <w:tcPr>
            <w:tcW w:w="3046" w:type="dxa"/>
            <w:vAlign w:val="center"/>
          </w:tcPr>
          <w:p w14:paraId="52FA37C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ascii="Times New Roman" w:hAnsi="Times New Roman" w:eastAsia="仿宋" w:cs="Times New Roman"/>
                <w:b/>
                <w:bCs/>
                <w:kern w:val="0"/>
                <w:sz w:val="24"/>
                <w:szCs w:val="24"/>
              </w:rPr>
            </w:pPr>
            <w:r>
              <w:rPr>
                <w:rFonts w:ascii="Times New Roman" w:hAnsi="Times New Roman" w:eastAsia="仿宋" w:cs="Times New Roman"/>
                <w:b/>
                <w:bCs/>
                <w:kern w:val="0"/>
                <w:sz w:val="24"/>
                <w:szCs w:val="24"/>
              </w:rPr>
              <w:t>单</w:t>
            </w:r>
            <w:r>
              <w:rPr>
                <w:rFonts w:hint="eastAsia" w:ascii="Times New Roman" w:hAnsi="Times New Roman" w:eastAsia="仿宋" w:cs="Times New Roman"/>
                <w:b/>
                <w:bCs/>
                <w:kern w:val="0"/>
                <w:sz w:val="24"/>
                <w:szCs w:val="24"/>
              </w:rPr>
              <w:t xml:space="preserve"> </w:t>
            </w:r>
            <w:r>
              <w:rPr>
                <w:rFonts w:ascii="Times New Roman" w:hAnsi="Times New Roman" w:eastAsia="仿宋" w:cs="Times New Roman"/>
                <w:b/>
                <w:bCs/>
                <w:kern w:val="0"/>
                <w:sz w:val="24"/>
                <w:szCs w:val="24"/>
              </w:rPr>
              <w:t>位</w:t>
            </w:r>
          </w:p>
        </w:tc>
        <w:tc>
          <w:tcPr>
            <w:tcW w:w="2030" w:type="dxa"/>
            <w:vAlign w:val="center"/>
          </w:tcPr>
          <w:p w14:paraId="5E32847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ascii="Times New Roman" w:hAnsi="Times New Roman" w:eastAsia="仿宋" w:cs="Times New Roman"/>
                <w:b/>
                <w:bCs/>
                <w:kern w:val="0"/>
                <w:sz w:val="24"/>
                <w:szCs w:val="24"/>
              </w:rPr>
            </w:pPr>
            <w:r>
              <w:rPr>
                <w:rFonts w:hint="eastAsia" w:ascii="Times New Roman" w:hAnsi="Times New Roman" w:eastAsia="仿宋" w:cs="Times New Roman"/>
                <w:b/>
                <w:bCs/>
                <w:kern w:val="0"/>
                <w:sz w:val="24"/>
                <w:szCs w:val="24"/>
              </w:rPr>
              <w:t xml:space="preserve">职务/ </w:t>
            </w:r>
            <w:r>
              <w:rPr>
                <w:rFonts w:ascii="Times New Roman" w:hAnsi="Times New Roman" w:eastAsia="仿宋" w:cs="Times New Roman"/>
                <w:b/>
                <w:bCs/>
                <w:kern w:val="0"/>
                <w:sz w:val="24"/>
                <w:szCs w:val="24"/>
              </w:rPr>
              <w:t>职称</w:t>
            </w:r>
          </w:p>
        </w:tc>
        <w:tc>
          <w:tcPr>
            <w:tcW w:w="2175" w:type="dxa"/>
            <w:vAlign w:val="center"/>
          </w:tcPr>
          <w:p w14:paraId="02A03E3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ascii="Times New Roman" w:hAnsi="Times New Roman" w:eastAsia="仿宋" w:cs="Times New Roman"/>
                <w:b/>
                <w:bCs/>
                <w:kern w:val="0"/>
                <w:sz w:val="24"/>
                <w:szCs w:val="24"/>
              </w:rPr>
            </w:pPr>
            <w:r>
              <w:rPr>
                <w:rFonts w:ascii="Times New Roman" w:hAnsi="Times New Roman" w:eastAsia="仿宋" w:cs="Times New Roman"/>
                <w:b/>
                <w:bCs/>
                <w:kern w:val="0"/>
                <w:sz w:val="24"/>
                <w:szCs w:val="24"/>
              </w:rPr>
              <w:t>工作分工</w:t>
            </w:r>
          </w:p>
        </w:tc>
      </w:tr>
      <w:tr w14:paraId="72237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blHeader/>
          <w:jc w:val="center"/>
        </w:trPr>
        <w:tc>
          <w:tcPr>
            <w:tcW w:w="865" w:type="dxa"/>
            <w:vAlign w:val="center"/>
          </w:tcPr>
          <w:p w14:paraId="653EBEC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ascii="Times New Roman" w:hAnsi="Times New Roman" w:eastAsia="仿宋" w:cs="Times New Roman"/>
                <w:kern w:val="0"/>
                <w:sz w:val="21"/>
                <w:szCs w:val="21"/>
              </w:rPr>
            </w:pPr>
            <w:r>
              <w:rPr>
                <w:rFonts w:hint="eastAsia" w:ascii="Times New Roman" w:hAnsi="Times New Roman" w:eastAsia="仿宋" w:cs="Times New Roman"/>
                <w:kern w:val="0"/>
                <w:sz w:val="21"/>
                <w:szCs w:val="21"/>
              </w:rPr>
              <w:t>1</w:t>
            </w:r>
          </w:p>
        </w:tc>
        <w:tc>
          <w:tcPr>
            <w:tcW w:w="1160" w:type="dxa"/>
            <w:vAlign w:val="center"/>
          </w:tcPr>
          <w:p w14:paraId="5AE8C4D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ascii="Times New Roman" w:hAnsi="Times New Roman" w:eastAsia="仿宋" w:cs="Times New Roman"/>
                <w:kern w:val="0"/>
                <w:sz w:val="21"/>
                <w:szCs w:val="21"/>
              </w:rPr>
            </w:pPr>
            <w:r>
              <w:rPr>
                <w:rFonts w:hint="eastAsia" w:ascii="Times New Roman" w:hAnsi="Times New Roman" w:eastAsia="仿宋" w:cs="Times New Roman"/>
                <w:kern w:val="0"/>
                <w:sz w:val="21"/>
                <w:szCs w:val="21"/>
              </w:rPr>
              <w:t>鄂立辉</w:t>
            </w:r>
          </w:p>
        </w:tc>
        <w:tc>
          <w:tcPr>
            <w:tcW w:w="3046" w:type="dxa"/>
            <w:vAlign w:val="center"/>
          </w:tcPr>
          <w:p w14:paraId="78E7265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ascii="Times New Roman" w:hAnsi="Times New Roman" w:eastAsia="仿宋" w:cs="Times New Roman"/>
                <w:kern w:val="0"/>
                <w:sz w:val="21"/>
                <w:szCs w:val="21"/>
              </w:rPr>
            </w:pPr>
            <w:r>
              <w:rPr>
                <w:rFonts w:hint="eastAsia" w:ascii="Times New Roman" w:hAnsi="Times New Roman" w:eastAsia="仿宋" w:cs="Times New Roman"/>
                <w:kern w:val="0"/>
                <w:sz w:val="21"/>
                <w:szCs w:val="21"/>
              </w:rPr>
              <w:t>湖南省民政厅儿童福利处</w:t>
            </w:r>
          </w:p>
        </w:tc>
        <w:tc>
          <w:tcPr>
            <w:tcW w:w="2030" w:type="dxa"/>
            <w:vAlign w:val="center"/>
          </w:tcPr>
          <w:p w14:paraId="503C1D1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Times New Roman" w:hAnsi="Times New Roman" w:eastAsia="仿宋" w:cs="Times New Roman"/>
                <w:kern w:val="0"/>
                <w:sz w:val="21"/>
                <w:szCs w:val="21"/>
              </w:rPr>
            </w:pPr>
            <w:r>
              <w:rPr>
                <w:rFonts w:hint="eastAsia" w:ascii="Times New Roman" w:hAnsi="Times New Roman" w:eastAsia="仿宋" w:cs="Times New Roman"/>
                <w:kern w:val="0"/>
                <w:sz w:val="21"/>
                <w:szCs w:val="21"/>
              </w:rPr>
              <w:t>处长</w:t>
            </w:r>
          </w:p>
        </w:tc>
        <w:tc>
          <w:tcPr>
            <w:tcW w:w="2175" w:type="dxa"/>
            <w:vAlign w:val="center"/>
          </w:tcPr>
          <w:p w14:paraId="0EAA077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ascii="Times New Roman" w:hAnsi="Times New Roman" w:eastAsia="仿宋" w:cs="Times New Roman"/>
                <w:kern w:val="0"/>
                <w:sz w:val="21"/>
                <w:szCs w:val="21"/>
              </w:rPr>
            </w:pPr>
            <w:r>
              <w:rPr>
                <w:rFonts w:hint="eastAsia" w:ascii="Times New Roman" w:hAnsi="Times New Roman" w:eastAsia="仿宋" w:cs="Times New Roman"/>
                <w:kern w:val="0"/>
                <w:sz w:val="21"/>
                <w:szCs w:val="21"/>
              </w:rPr>
              <w:t>统筹协调</w:t>
            </w:r>
          </w:p>
        </w:tc>
      </w:tr>
      <w:tr w14:paraId="6ABCF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5" w:type="dxa"/>
            <w:vAlign w:val="center"/>
          </w:tcPr>
          <w:p w14:paraId="329C54E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160" w:type="dxa"/>
            <w:vAlign w:val="center"/>
          </w:tcPr>
          <w:p w14:paraId="77479FF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ascii="Times New Roman" w:hAnsi="Times New Roman" w:eastAsia="仿宋" w:cs="Times New Roman"/>
                <w:kern w:val="0"/>
                <w:sz w:val="21"/>
                <w:szCs w:val="21"/>
              </w:rPr>
            </w:pPr>
            <w:r>
              <w:rPr>
                <w:rFonts w:hint="eastAsia" w:ascii="Times New Roman" w:hAnsi="Times New Roman" w:eastAsia="仿宋" w:cs="Times New Roman"/>
                <w:kern w:val="0"/>
                <w:sz w:val="21"/>
                <w:szCs w:val="21"/>
              </w:rPr>
              <w:t>刘莉莉</w:t>
            </w:r>
          </w:p>
        </w:tc>
        <w:tc>
          <w:tcPr>
            <w:tcW w:w="3046" w:type="dxa"/>
            <w:vAlign w:val="center"/>
          </w:tcPr>
          <w:p w14:paraId="21349ED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ascii="Times New Roman" w:hAnsi="Times New Roman" w:eastAsia="仿宋" w:cs="Times New Roman"/>
                <w:kern w:val="0"/>
                <w:sz w:val="21"/>
                <w:szCs w:val="21"/>
              </w:rPr>
            </w:pPr>
            <w:r>
              <w:rPr>
                <w:rFonts w:hint="eastAsia" w:ascii="Times New Roman" w:hAnsi="Times New Roman" w:eastAsia="仿宋" w:cs="Times New Roman"/>
                <w:kern w:val="0"/>
                <w:sz w:val="21"/>
                <w:szCs w:val="21"/>
              </w:rPr>
              <w:t>益阳市民政局</w:t>
            </w:r>
          </w:p>
        </w:tc>
        <w:tc>
          <w:tcPr>
            <w:tcW w:w="2030" w:type="dxa"/>
            <w:vAlign w:val="center"/>
          </w:tcPr>
          <w:p w14:paraId="465842A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ascii="Times New Roman" w:hAnsi="Times New Roman" w:eastAsia="仿宋" w:cs="Times New Roman"/>
                <w:kern w:val="0"/>
                <w:sz w:val="21"/>
                <w:szCs w:val="21"/>
              </w:rPr>
            </w:pPr>
            <w:r>
              <w:rPr>
                <w:rFonts w:hint="eastAsia" w:ascii="Times New Roman" w:hAnsi="Times New Roman" w:eastAsia="仿宋" w:cs="Times New Roman"/>
                <w:kern w:val="0"/>
                <w:sz w:val="21"/>
                <w:szCs w:val="21"/>
              </w:rPr>
              <w:t>科长</w:t>
            </w:r>
          </w:p>
        </w:tc>
        <w:tc>
          <w:tcPr>
            <w:tcW w:w="2175" w:type="dxa"/>
            <w:vAlign w:val="center"/>
          </w:tcPr>
          <w:p w14:paraId="7CFFF3B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ascii="Times New Roman" w:hAnsi="Times New Roman" w:eastAsia="仿宋" w:cs="Times New Roman"/>
                <w:kern w:val="0"/>
                <w:sz w:val="21"/>
                <w:szCs w:val="21"/>
              </w:rPr>
            </w:pPr>
            <w:r>
              <w:rPr>
                <w:rFonts w:hint="eastAsia" w:ascii="Times New Roman" w:hAnsi="Times New Roman" w:eastAsia="仿宋" w:cs="Times New Roman"/>
                <w:kern w:val="0"/>
                <w:sz w:val="21"/>
                <w:szCs w:val="21"/>
              </w:rPr>
              <w:t>统筹协调</w:t>
            </w:r>
          </w:p>
        </w:tc>
      </w:tr>
      <w:tr w14:paraId="613AD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5" w:type="dxa"/>
            <w:vAlign w:val="center"/>
          </w:tcPr>
          <w:p w14:paraId="1348616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ascii="Times New Roman" w:hAnsi="Times New Roman" w:eastAsia="仿宋" w:cs="Times New Roman"/>
                <w:kern w:val="0"/>
                <w:sz w:val="21"/>
                <w:szCs w:val="21"/>
              </w:rPr>
            </w:pPr>
            <w:r>
              <w:rPr>
                <w:rFonts w:hint="eastAsia" w:ascii="Times New Roman" w:hAnsi="Times New Roman" w:eastAsia="仿宋" w:cs="Times New Roman"/>
                <w:kern w:val="0"/>
                <w:sz w:val="21"/>
                <w:szCs w:val="21"/>
              </w:rPr>
              <w:t>3</w:t>
            </w:r>
          </w:p>
        </w:tc>
        <w:tc>
          <w:tcPr>
            <w:tcW w:w="1160" w:type="dxa"/>
            <w:vAlign w:val="center"/>
          </w:tcPr>
          <w:p w14:paraId="472CCC1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Times New Roman" w:hAnsi="Times New Roman" w:eastAsia="仿宋" w:cs="Times New Roman"/>
                <w:kern w:val="0"/>
                <w:sz w:val="21"/>
                <w:szCs w:val="21"/>
              </w:rPr>
            </w:pPr>
            <w:r>
              <w:rPr>
                <w:rFonts w:hint="eastAsia" w:ascii="Times New Roman" w:hAnsi="Times New Roman" w:eastAsia="仿宋" w:cs="Times New Roman"/>
                <w:kern w:val="0"/>
                <w:sz w:val="21"/>
                <w:szCs w:val="21"/>
              </w:rPr>
              <w:t>孟海军</w:t>
            </w:r>
          </w:p>
        </w:tc>
        <w:tc>
          <w:tcPr>
            <w:tcW w:w="3046" w:type="dxa"/>
            <w:vAlign w:val="center"/>
          </w:tcPr>
          <w:p w14:paraId="4794C27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Times New Roman" w:hAnsi="Times New Roman" w:eastAsia="仿宋" w:cs="Times New Roman"/>
                <w:kern w:val="0"/>
                <w:sz w:val="21"/>
                <w:szCs w:val="21"/>
              </w:rPr>
            </w:pPr>
            <w:r>
              <w:rPr>
                <w:rFonts w:hint="eastAsia" w:ascii="Times New Roman" w:hAnsi="Times New Roman" w:eastAsia="仿宋" w:cs="Times New Roman"/>
                <w:kern w:val="0"/>
                <w:sz w:val="21"/>
                <w:szCs w:val="21"/>
              </w:rPr>
              <w:t>南县民政局</w:t>
            </w:r>
          </w:p>
        </w:tc>
        <w:tc>
          <w:tcPr>
            <w:tcW w:w="2030" w:type="dxa"/>
            <w:vAlign w:val="center"/>
          </w:tcPr>
          <w:p w14:paraId="6374893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Times New Roman" w:hAnsi="Times New Roman" w:eastAsia="仿宋" w:cs="Times New Roman"/>
                <w:kern w:val="0"/>
                <w:sz w:val="21"/>
                <w:szCs w:val="21"/>
              </w:rPr>
            </w:pPr>
            <w:r>
              <w:rPr>
                <w:rFonts w:hint="eastAsia" w:ascii="Times New Roman" w:hAnsi="Times New Roman" w:eastAsia="仿宋" w:cs="Times New Roman"/>
                <w:kern w:val="0"/>
                <w:sz w:val="21"/>
                <w:szCs w:val="21"/>
              </w:rPr>
              <w:t>副局长</w:t>
            </w:r>
          </w:p>
        </w:tc>
        <w:tc>
          <w:tcPr>
            <w:tcW w:w="2175" w:type="dxa"/>
            <w:vAlign w:val="center"/>
          </w:tcPr>
          <w:p w14:paraId="33944AA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Times New Roman" w:hAnsi="Times New Roman" w:eastAsia="仿宋" w:cs="Times New Roman"/>
                <w:kern w:val="0"/>
                <w:sz w:val="21"/>
                <w:szCs w:val="21"/>
              </w:rPr>
            </w:pPr>
            <w:r>
              <w:rPr>
                <w:rFonts w:hint="eastAsia" w:ascii="Times New Roman" w:hAnsi="Times New Roman" w:eastAsia="仿宋" w:cs="Times New Roman"/>
                <w:kern w:val="0"/>
                <w:sz w:val="21"/>
                <w:szCs w:val="21"/>
              </w:rPr>
              <w:t>统筹协调、组织实施</w:t>
            </w:r>
          </w:p>
        </w:tc>
      </w:tr>
      <w:tr w14:paraId="0BA16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5" w:type="dxa"/>
            <w:vAlign w:val="center"/>
          </w:tcPr>
          <w:p w14:paraId="3709786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ascii="Times New Roman" w:hAnsi="Times New Roman" w:eastAsia="仿宋" w:cs="Times New Roman"/>
                <w:kern w:val="0"/>
                <w:sz w:val="21"/>
                <w:szCs w:val="21"/>
              </w:rPr>
            </w:pPr>
            <w:r>
              <w:rPr>
                <w:rFonts w:hint="eastAsia" w:ascii="Times New Roman" w:hAnsi="Times New Roman" w:eastAsia="仿宋" w:cs="Times New Roman"/>
                <w:kern w:val="0"/>
                <w:sz w:val="21"/>
                <w:szCs w:val="21"/>
              </w:rPr>
              <w:t>4</w:t>
            </w:r>
          </w:p>
        </w:tc>
        <w:tc>
          <w:tcPr>
            <w:tcW w:w="1160" w:type="dxa"/>
            <w:vAlign w:val="center"/>
          </w:tcPr>
          <w:p w14:paraId="6449C17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ascii="Times New Roman" w:hAnsi="Times New Roman" w:eastAsia="仿宋" w:cs="Times New Roman"/>
                <w:kern w:val="0"/>
                <w:sz w:val="21"/>
                <w:szCs w:val="21"/>
              </w:rPr>
            </w:pPr>
            <w:r>
              <w:rPr>
                <w:rFonts w:hint="eastAsia" w:ascii="Times New Roman" w:hAnsi="Times New Roman" w:eastAsia="仿宋" w:cs="Times New Roman"/>
                <w:kern w:val="0"/>
                <w:sz w:val="21"/>
                <w:szCs w:val="21"/>
              </w:rPr>
              <w:t>彭  娟</w:t>
            </w:r>
          </w:p>
        </w:tc>
        <w:tc>
          <w:tcPr>
            <w:tcW w:w="3046" w:type="dxa"/>
            <w:vAlign w:val="center"/>
          </w:tcPr>
          <w:p w14:paraId="4BE8B9A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ascii="Times New Roman" w:hAnsi="Times New Roman" w:eastAsia="仿宋" w:cs="Times New Roman"/>
                <w:kern w:val="0"/>
                <w:sz w:val="21"/>
                <w:szCs w:val="21"/>
              </w:rPr>
            </w:pPr>
            <w:r>
              <w:rPr>
                <w:rFonts w:hint="eastAsia" w:ascii="Times New Roman" w:hAnsi="Times New Roman" w:eastAsia="仿宋" w:cs="Times New Roman"/>
                <w:kern w:val="0"/>
                <w:sz w:val="21"/>
                <w:szCs w:val="21"/>
              </w:rPr>
              <w:t>南县城乡低收入家庭认定中心</w:t>
            </w:r>
          </w:p>
        </w:tc>
        <w:tc>
          <w:tcPr>
            <w:tcW w:w="2030" w:type="dxa"/>
            <w:vAlign w:val="center"/>
          </w:tcPr>
          <w:p w14:paraId="21868EC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ascii="Times New Roman" w:hAnsi="Times New Roman" w:eastAsia="仿宋" w:cs="Times New Roman"/>
                <w:kern w:val="0"/>
                <w:sz w:val="21"/>
                <w:szCs w:val="21"/>
              </w:rPr>
            </w:pPr>
            <w:r>
              <w:rPr>
                <w:rFonts w:hint="eastAsia" w:ascii="Times New Roman" w:hAnsi="Times New Roman" w:eastAsia="仿宋" w:cs="Times New Roman"/>
                <w:kern w:val="0"/>
                <w:sz w:val="21"/>
                <w:szCs w:val="21"/>
              </w:rPr>
              <w:t>主任</w:t>
            </w:r>
          </w:p>
        </w:tc>
        <w:tc>
          <w:tcPr>
            <w:tcW w:w="2175" w:type="dxa"/>
            <w:vAlign w:val="center"/>
          </w:tcPr>
          <w:p w14:paraId="06EEB3B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ascii="Times New Roman" w:hAnsi="Times New Roman" w:eastAsia="仿宋" w:cs="Times New Roman"/>
                <w:kern w:val="0"/>
                <w:sz w:val="21"/>
                <w:szCs w:val="21"/>
              </w:rPr>
            </w:pPr>
            <w:r>
              <w:rPr>
                <w:rFonts w:hint="eastAsia" w:ascii="Times New Roman" w:hAnsi="Times New Roman" w:eastAsia="仿宋" w:cs="Times New Roman"/>
                <w:kern w:val="0"/>
                <w:sz w:val="21"/>
                <w:szCs w:val="21"/>
              </w:rPr>
              <w:t>标准编写</w:t>
            </w:r>
          </w:p>
        </w:tc>
      </w:tr>
      <w:tr w14:paraId="3E24A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5" w:type="dxa"/>
            <w:vAlign w:val="center"/>
          </w:tcPr>
          <w:p w14:paraId="554F7D7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ascii="Times New Roman" w:hAnsi="Times New Roman" w:eastAsia="仿宋" w:cs="Times New Roman"/>
                <w:kern w:val="0"/>
                <w:sz w:val="21"/>
                <w:szCs w:val="21"/>
              </w:rPr>
            </w:pPr>
            <w:r>
              <w:rPr>
                <w:rFonts w:hint="eastAsia" w:ascii="Times New Roman" w:hAnsi="Times New Roman" w:eastAsia="仿宋" w:cs="Times New Roman"/>
                <w:kern w:val="0"/>
                <w:sz w:val="21"/>
                <w:szCs w:val="21"/>
              </w:rPr>
              <w:t>5</w:t>
            </w:r>
          </w:p>
        </w:tc>
        <w:tc>
          <w:tcPr>
            <w:tcW w:w="1160" w:type="dxa"/>
            <w:vAlign w:val="center"/>
          </w:tcPr>
          <w:p w14:paraId="2A4E6BBF">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ascii="Times New Roman" w:hAnsi="Times New Roman" w:eastAsia="仿宋" w:cs="Times New Roman"/>
                <w:kern w:val="0"/>
                <w:sz w:val="21"/>
                <w:szCs w:val="21"/>
              </w:rPr>
            </w:pPr>
            <w:r>
              <w:rPr>
                <w:rFonts w:hint="eastAsia" w:ascii="Times New Roman" w:hAnsi="Times New Roman" w:eastAsia="仿宋" w:cs="Times New Roman"/>
                <w:kern w:val="0"/>
                <w:sz w:val="21"/>
                <w:szCs w:val="21"/>
              </w:rPr>
              <w:t>彭  妍</w:t>
            </w:r>
          </w:p>
        </w:tc>
        <w:tc>
          <w:tcPr>
            <w:tcW w:w="3046" w:type="dxa"/>
            <w:vAlign w:val="center"/>
          </w:tcPr>
          <w:p w14:paraId="23FA91C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ascii="Times New Roman" w:hAnsi="Times New Roman" w:eastAsia="仿宋" w:cs="Times New Roman"/>
                <w:kern w:val="0"/>
                <w:sz w:val="21"/>
                <w:szCs w:val="21"/>
              </w:rPr>
            </w:pPr>
            <w:r>
              <w:rPr>
                <w:rFonts w:hint="eastAsia" w:ascii="Times New Roman" w:hAnsi="Times New Roman" w:eastAsia="仿宋" w:cs="Times New Roman"/>
                <w:kern w:val="0"/>
                <w:sz w:val="21"/>
                <w:szCs w:val="21"/>
              </w:rPr>
              <w:t>南县未成年人救助保护中心</w:t>
            </w:r>
          </w:p>
        </w:tc>
        <w:tc>
          <w:tcPr>
            <w:tcW w:w="2030" w:type="dxa"/>
            <w:vAlign w:val="center"/>
          </w:tcPr>
          <w:p w14:paraId="0F0E174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ascii="Times New Roman" w:hAnsi="Times New Roman" w:eastAsia="仿宋" w:cs="Times New Roman"/>
                <w:kern w:val="0"/>
                <w:sz w:val="21"/>
                <w:szCs w:val="21"/>
              </w:rPr>
            </w:pPr>
            <w:r>
              <w:rPr>
                <w:rFonts w:hint="eastAsia" w:ascii="Times New Roman" w:hAnsi="Times New Roman" w:eastAsia="仿宋" w:cs="Times New Roman"/>
                <w:kern w:val="0"/>
                <w:sz w:val="21"/>
                <w:szCs w:val="21"/>
              </w:rPr>
              <w:t>社会工作师</w:t>
            </w:r>
          </w:p>
        </w:tc>
        <w:tc>
          <w:tcPr>
            <w:tcW w:w="2175" w:type="dxa"/>
            <w:vAlign w:val="center"/>
          </w:tcPr>
          <w:p w14:paraId="1045880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ascii="Times New Roman" w:hAnsi="Times New Roman" w:eastAsia="仿宋" w:cs="Times New Roman"/>
                <w:kern w:val="0"/>
                <w:sz w:val="21"/>
                <w:szCs w:val="21"/>
              </w:rPr>
            </w:pPr>
            <w:r>
              <w:rPr>
                <w:rFonts w:hint="eastAsia" w:ascii="Times New Roman" w:hAnsi="Times New Roman" w:eastAsia="仿宋" w:cs="Times New Roman"/>
                <w:kern w:val="0"/>
                <w:sz w:val="21"/>
                <w:szCs w:val="21"/>
              </w:rPr>
              <w:t>标准编写</w:t>
            </w:r>
          </w:p>
        </w:tc>
      </w:tr>
      <w:tr w14:paraId="4594F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65" w:type="dxa"/>
            <w:vAlign w:val="center"/>
          </w:tcPr>
          <w:p w14:paraId="283C6EA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ascii="Times New Roman" w:hAnsi="Times New Roman" w:eastAsia="仿宋" w:cs="Times New Roman"/>
                <w:kern w:val="0"/>
                <w:sz w:val="21"/>
                <w:szCs w:val="21"/>
              </w:rPr>
            </w:pPr>
            <w:r>
              <w:rPr>
                <w:rFonts w:hint="eastAsia" w:ascii="Times New Roman" w:hAnsi="Times New Roman" w:eastAsia="仿宋" w:cs="Times New Roman"/>
                <w:kern w:val="0"/>
                <w:sz w:val="21"/>
                <w:szCs w:val="21"/>
              </w:rPr>
              <w:t>6</w:t>
            </w:r>
          </w:p>
        </w:tc>
        <w:tc>
          <w:tcPr>
            <w:tcW w:w="1160" w:type="dxa"/>
            <w:vAlign w:val="center"/>
          </w:tcPr>
          <w:p w14:paraId="5A86C48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ascii="Times New Roman" w:hAnsi="Times New Roman" w:eastAsia="仿宋" w:cs="Times New Roman"/>
                <w:kern w:val="0"/>
                <w:sz w:val="21"/>
                <w:szCs w:val="21"/>
              </w:rPr>
            </w:pPr>
            <w:r>
              <w:rPr>
                <w:rFonts w:hint="eastAsia" w:ascii="Times New Roman" w:hAnsi="Times New Roman" w:eastAsia="仿宋" w:cs="Times New Roman"/>
                <w:kern w:val="0"/>
                <w:sz w:val="21"/>
                <w:szCs w:val="21"/>
              </w:rPr>
              <w:t>邓  英</w:t>
            </w:r>
          </w:p>
        </w:tc>
        <w:tc>
          <w:tcPr>
            <w:tcW w:w="3046" w:type="dxa"/>
            <w:vAlign w:val="center"/>
          </w:tcPr>
          <w:p w14:paraId="3FD2703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ascii="Times New Roman" w:hAnsi="Times New Roman" w:eastAsia="仿宋" w:cs="Times New Roman"/>
                <w:kern w:val="0"/>
                <w:sz w:val="21"/>
                <w:szCs w:val="21"/>
              </w:rPr>
            </w:pPr>
            <w:r>
              <w:rPr>
                <w:rFonts w:hint="eastAsia" w:ascii="Times New Roman" w:hAnsi="Times New Roman" w:eastAsia="仿宋" w:cs="Times New Roman"/>
                <w:kern w:val="0"/>
                <w:sz w:val="21"/>
                <w:szCs w:val="21"/>
              </w:rPr>
              <w:t>南县社会工作事务所</w:t>
            </w:r>
            <w:r>
              <w:rPr>
                <w:rFonts w:ascii="Times New Roman" w:hAnsi="Times New Roman" w:eastAsia="仿宋" w:cs="Times New Roman"/>
                <w:kern w:val="0"/>
                <w:sz w:val="21"/>
                <w:szCs w:val="21"/>
              </w:rPr>
              <w:t xml:space="preserve">  </w:t>
            </w:r>
          </w:p>
        </w:tc>
        <w:tc>
          <w:tcPr>
            <w:tcW w:w="2030" w:type="dxa"/>
            <w:vAlign w:val="center"/>
          </w:tcPr>
          <w:p w14:paraId="41BC9D5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ascii="Times New Roman" w:hAnsi="Times New Roman" w:eastAsia="仿宋" w:cs="Times New Roman"/>
                <w:kern w:val="0"/>
                <w:sz w:val="21"/>
                <w:szCs w:val="21"/>
              </w:rPr>
            </w:pPr>
            <w:r>
              <w:rPr>
                <w:rFonts w:hint="eastAsia" w:ascii="Times New Roman" w:hAnsi="Times New Roman" w:eastAsia="仿宋" w:cs="Times New Roman"/>
                <w:kern w:val="0"/>
                <w:sz w:val="21"/>
                <w:szCs w:val="21"/>
              </w:rPr>
              <w:t>社会工作师</w:t>
            </w:r>
          </w:p>
        </w:tc>
        <w:tc>
          <w:tcPr>
            <w:tcW w:w="2175" w:type="dxa"/>
            <w:vAlign w:val="center"/>
          </w:tcPr>
          <w:p w14:paraId="36D4522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ascii="Times New Roman" w:hAnsi="Times New Roman" w:eastAsia="仿宋" w:cs="Times New Roman"/>
                <w:kern w:val="0"/>
                <w:sz w:val="21"/>
                <w:szCs w:val="21"/>
              </w:rPr>
            </w:pPr>
            <w:r>
              <w:rPr>
                <w:rFonts w:hint="eastAsia" w:ascii="Times New Roman" w:hAnsi="Times New Roman" w:eastAsia="仿宋" w:cs="Times New Roman"/>
                <w:kern w:val="0"/>
                <w:sz w:val="21"/>
                <w:szCs w:val="21"/>
              </w:rPr>
              <w:t>标准编写</w:t>
            </w:r>
          </w:p>
        </w:tc>
      </w:tr>
    </w:tbl>
    <w:p w14:paraId="64EF63DA">
      <w:pPr>
        <w:keepNext w:val="0"/>
        <w:keepLines w:val="0"/>
        <w:pageBreakBefore w:val="0"/>
        <w:kinsoku/>
        <w:wordWrap/>
        <w:overflowPunct/>
        <w:topLinePunct w:val="0"/>
        <w:bidi w:val="0"/>
        <w:adjustRightInd/>
        <w:snapToGrid/>
        <w:spacing w:line="600" w:lineRule="exact"/>
        <w:ind w:right="0" w:firstLine="643" w:firstLineChars="200"/>
        <w:jc w:val="left"/>
        <w:textAlignment w:val="auto"/>
        <w:rPr>
          <w:rFonts w:ascii="Times New Roman" w:hAnsi="Times New Roman" w:eastAsia="楷体" w:cs="Times New Roman"/>
          <w:b/>
          <w:bCs/>
          <w:kern w:val="0"/>
          <w:sz w:val="32"/>
          <w:szCs w:val="32"/>
        </w:rPr>
      </w:pPr>
      <w:r>
        <w:rPr>
          <w:rFonts w:ascii="Times New Roman" w:hAnsi="Times New Roman" w:eastAsia="楷体" w:cs="Times New Roman"/>
          <w:b/>
          <w:bCs/>
          <w:kern w:val="0"/>
          <w:sz w:val="32"/>
          <w:szCs w:val="32"/>
        </w:rPr>
        <w:t>（四）主要工作过程</w:t>
      </w:r>
    </w:p>
    <w:p w14:paraId="392F0069">
      <w:pPr>
        <w:keepNext w:val="0"/>
        <w:keepLines w:val="0"/>
        <w:pageBreakBefore w:val="0"/>
        <w:kinsoku/>
        <w:wordWrap/>
        <w:overflowPunct/>
        <w:topLinePunct w:val="0"/>
        <w:bidi w:val="0"/>
        <w:adjustRightInd/>
        <w:snapToGrid/>
        <w:spacing w:line="600" w:lineRule="exact"/>
        <w:ind w:right="0" w:firstLine="643" w:firstLineChars="200"/>
        <w:jc w:val="left"/>
        <w:textAlignment w:val="auto"/>
        <w:rPr>
          <w:rFonts w:ascii="Times New Roman" w:hAnsi="Times New Roman" w:eastAsia="仿宋" w:cs="Times New Roman"/>
          <w:b/>
          <w:kern w:val="0"/>
          <w:sz w:val="32"/>
          <w:szCs w:val="32"/>
        </w:rPr>
      </w:pPr>
      <w:r>
        <w:rPr>
          <w:rFonts w:ascii="Times New Roman" w:hAnsi="Times New Roman" w:eastAsia="仿宋" w:cs="Times New Roman"/>
          <w:b/>
          <w:kern w:val="0"/>
          <w:sz w:val="32"/>
          <w:szCs w:val="32"/>
        </w:rPr>
        <w:t>1.成立标准起草工作组</w:t>
      </w:r>
    </w:p>
    <w:p w14:paraId="7A63162F">
      <w:pPr>
        <w:keepNext w:val="0"/>
        <w:keepLines w:val="0"/>
        <w:pageBreakBefore w:val="0"/>
        <w:kinsoku/>
        <w:wordWrap/>
        <w:overflowPunct/>
        <w:topLinePunct w:val="0"/>
        <w:bidi w:val="0"/>
        <w:adjustRightInd/>
        <w:snapToGrid/>
        <w:spacing w:line="600" w:lineRule="exact"/>
        <w:ind w:right="0" w:firstLine="640" w:firstLineChars="200"/>
        <w:textAlignment w:val="auto"/>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自标准修订工作任务下达以来，</w:t>
      </w:r>
      <w:r>
        <w:rPr>
          <w:rFonts w:hint="eastAsia" w:ascii="仿宋_GB2312" w:hAnsi="仿宋" w:eastAsia="仿宋_GB2312" w:cs="宋体"/>
          <w:kern w:val="0"/>
          <w:sz w:val="32"/>
          <w:szCs w:val="32"/>
        </w:rPr>
        <w:t>项目承担单位</w:t>
      </w:r>
      <w:r>
        <w:rPr>
          <w:rFonts w:hint="eastAsia" w:ascii="Times New Roman" w:hAnsi="Times New Roman" w:eastAsia="仿宋" w:cs="Times New Roman"/>
          <w:kern w:val="0"/>
          <w:sz w:val="32"/>
          <w:szCs w:val="32"/>
        </w:rPr>
        <w:t>南县民政局高度重视地方标准编制工作，严格按照《湖南省地方标准管理办法》规定的程序和要求，迅速部署落实工作任务，于</w:t>
      </w:r>
      <w:r>
        <w:rPr>
          <w:rFonts w:ascii="Times New Roman" w:hAnsi="Times New Roman" w:eastAsia="仿宋" w:cs="Times New Roman"/>
          <w:kern w:val="0"/>
          <w:sz w:val="32"/>
          <w:szCs w:val="32"/>
        </w:rPr>
        <w:t>2025年4月组建《</w:t>
      </w:r>
      <w:r>
        <w:rPr>
          <w:rFonts w:hint="eastAsia" w:ascii="Times New Roman" w:hAnsi="Times New Roman" w:eastAsia="仿宋" w:cs="Times New Roman"/>
          <w:kern w:val="0"/>
          <w:sz w:val="32"/>
          <w:szCs w:val="32"/>
        </w:rPr>
        <w:t>困境儿童家庭监护能力评估</w:t>
      </w:r>
      <w:r>
        <w:rPr>
          <w:rFonts w:ascii="Times New Roman" w:hAnsi="Times New Roman" w:eastAsia="仿宋" w:cs="Times New Roman"/>
          <w:kern w:val="0"/>
          <w:sz w:val="32"/>
          <w:szCs w:val="32"/>
        </w:rPr>
        <w:t>》</w:t>
      </w:r>
      <w:r>
        <w:rPr>
          <w:rFonts w:hint="eastAsia" w:ascii="Times New Roman" w:hAnsi="Times New Roman" w:eastAsia="仿宋" w:cs="Times New Roman"/>
          <w:kern w:val="0"/>
          <w:sz w:val="32"/>
          <w:szCs w:val="32"/>
        </w:rPr>
        <w:t>地方</w:t>
      </w:r>
      <w:r>
        <w:rPr>
          <w:rFonts w:ascii="Times New Roman" w:hAnsi="Times New Roman" w:eastAsia="仿宋" w:cs="Times New Roman"/>
          <w:kern w:val="0"/>
          <w:sz w:val="32"/>
          <w:szCs w:val="32"/>
        </w:rPr>
        <w:t>标准</w:t>
      </w:r>
      <w:r>
        <w:rPr>
          <w:rFonts w:hint="eastAsia" w:ascii="Times New Roman" w:hAnsi="Times New Roman" w:eastAsia="仿宋" w:cs="Times New Roman"/>
          <w:kern w:val="0"/>
          <w:sz w:val="32"/>
          <w:szCs w:val="32"/>
        </w:rPr>
        <w:t>编制工作</w:t>
      </w:r>
      <w:r>
        <w:rPr>
          <w:rFonts w:ascii="Times New Roman" w:hAnsi="Times New Roman" w:eastAsia="仿宋" w:cs="Times New Roman"/>
          <w:kern w:val="0"/>
          <w:sz w:val="32"/>
          <w:szCs w:val="32"/>
        </w:rPr>
        <w:t>组，</w:t>
      </w:r>
      <w:r>
        <w:rPr>
          <w:rFonts w:hint="eastAsia" w:ascii="Times New Roman" w:hAnsi="Times New Roman" w:eastAsia="仿宋" w:cs="Times New Roman"/>
          <w:kern w:val="0"/>
          <w:sz w:val="32"/>
          <w:szCs w:val="32"/>
        </w:rPr>
        <w:t>并制定了地方标准</w:t>
      </w:r>
      <w:r>
        <w:rPr>
          <w:rFonts w:ascii="Times New Roman" w:hAnsi="Times New Roman" w:eastAsia="仿宋" w:cs="Times New Roman"/>
          <w:kern w:val="0"/>
          <w:sz w:val="32"/>
          <w:szCs w:val="32"/>
        </w:rPr>
        <w:t>《</w:t>
      </w:r>
      <w:r>
        <w:rPr>
          <w:rFonts w:hint="eastAsia" w:ascii="Times New Roman" w:hAnsi="Times New Roman" w:eastAsia="仿宋" w:cs="Times New Roman"/>
          <w:kern w:val="0"/>
          <w:sz w:val="32"/>
          <w:szCs w:val="32"/>
        </w:rPr>
        <w:t>困境儿童家庭监护能力评估</w:t>
      </w:r>
      <w:r>
        <w:rPr>
          <w:rFonts w:ascii="Times New Roman" w:hAnsi="Times New Roman" w:eastAsia="仿宋" w:cs="Times New Roman"/>
          <w:kern w:val="0"/>
          <w:sz w:val="32"/>
          <w:szCs w:val="32"/>
        </w:rPr>
        <w:t>》</w:t>
      </w:r>
      <w:r>
        <w:rPr>
          <w:rFonts w:hint="eastAsia" w:ascii="Times New Roman" w:hAnsi="Times New Roman" w:eastAsia="仿宋" w:cs="Times New Roman"/>
          <w:kern w:val="0"/>
          <w:sz w:val="32"/>
          <w:szCs w:val="32"/>
        </w:rPr>
        <w:t>编制工作方案和推进计划，明确任务要求和职责分工。</w:t>
      </w:r>
    </w:p>
    <w:p w14:paraId="4D1CA5DE">
      <w:pPr>
        <w:keepNext w:val="0"/>
        <w:keepLines w:val="0"/>
        <w:pageBreakBefore w:val="0"/>
        <w:kinsoku/>
        <w:wordWrap/>
        <w:overflowPunct/>
        <w:topLinePunct w:val="0"/>
        <w:bidi w:val="0"/>
        <w:adjustRightInd/>
        <w:snapToGrid/>
        <w:spacing w:line="600" w:lineRule="exact"/>
        <w:ind w:right="0" w:firstLine="643" w:firstLineChars="200"/>
        <w:jc w:val="left"/>
        <w:textAlignment w:val="auto"/>
        <w:rPr>
          <w:rFonts w:ascii="Times New Roman" w:hAnsi="Times New Roman" w:eastAsia="仿宋" w:cs="Times New Roman"/>
          <w:b/>
          <w:kern w:val="0"/>
          <w:sz w:val="32"/>
          <w:szCs w:val="32"/>
        </w:rPr>
      </w:pPr>
      <w:r>
        <w:rPr>
          <w:rFonts w:ascii="Times New Roman" w:hAnsi="Times New Roman" w:eastAsia="仿宋" w:cs="Times New Roman"/>
          <w:b/>
          <w:kern w:val="0"/>
          <w:sz w:val="32"/>
          <w:szCs w:val="32"/>
        </w:rPr>
        <w:t>2. 起草</w:t>
      </w:r>
      <w:r>
        <w:rPr>
          <w:rFonts w:hint="eastAsia" w:ascii="Times New Roman" w:hAnsi="Times New Roman" w:eastAsia="仿宋" w:cs="Times New Roman"/>
          <w:b/>
          <w:kern w:val="0"/>
          <w:sz w:val="32"/>
          <w:szCs w:val="32"/>
        </w:rPr>
        <w:t>标准草案</w:t>
      </w:r>
    </w:p>
    <w:p w14:paraId="5EBE02FE">
      <w:pPr>
        <w:keepNext w:val="0"/>
        <w:keepLines w:val="0"/>
        <w:pageBreakBefore w:val="0"/>
        <w:kinsoku/>
        <w:wordWrap/>
        <w:overflowPunct/>
        <w:topLinePunct w:val="0"/>
        <w:bidi w:val="0"/>
        <w:adjustRightInd/>
        <w:snapToGrid/>
        <w:spacing w:line="600" w:lineRule="exact"/>
        <w:ind w:right="0" w:firstLine="640" w:firstLineChars="200"/>
        <w:textAlignment w:val="auto"/>
        <w:rPr>
          <w:rFonts w:ascii="Times New Roman" w:hAnsi="Times New Roman" w:eastAsia="仿宋" w:cs="Times New Roman"/>
          <w:bCs/>
          <w:kern w:val="0"/>
          <w:sz w:val="32"/>
          <w:szCs w:val="32"/>
        </w:rPr>
      </w:pPr>
      <w:bookmarkStart w:id="2" w:name="_Hlk182553694"/>
      <w:r>
        <w:rPr>
          <w:rFonts w:ascii="Times New Roman" w:hAnsi="Times New Roman" w:eastAsia="仿宋" w:cs="Times New Roman"/>
          <w:bCs/>
          <w:kern w:val="0"/>
          <w:sz w:val="32"/>
          <w:szCs w:val="32"/>
        </w:rPr>
        <w:t>2025年5月</w:t>
      </w:r>
      <w:r>
        <w:rPr>
          <w:rFonts w:hint="eastAsia" w:ascii="Times New Roman" w:hAnsi="Times New Roman" w:eastAsia="仿宋" w:cs="Times New Roman"/>
          <w:bCs/>
          <w:kern w:val="0"/>
          <w:sz w:val="32"/>
          <w:szCs w:val="32"/>
        </w:rPr>
        <w:t>，标准编制工作组</w:t>
      </w:r>
      <w:bookmarkEnd w:id="2"/>
      <w:r>
        <w:rPr>
          <w:rFonts w:hint="eastAsia" w:ascii="Times New Roman" w:hAnsi="Times New Roman" w:eastAsia="仿宋" w:cs="Times New Roman"/>
          <w:bCs/>
          <w:kern w:val="0"/>
          <w:sz w:val="32"/>
          <w:szCs w:val="32"/>
        </w:rPr>
        <w:t>启动标准编制前期资料收集与工作，收集整理国、省困境儿童保障相关政策文件、标准规范、学术论文和资料文献，标准编制工作组对收集资料进行了充分研读后，严格按照国省相关政策文件要求，基于进一步规范困境儿童家庭监护能力评估工作的原则，以及标准易用性原则，在此基础上确定标准化对象，分析标准化需求，初步明确了地方标准</w:t>
      </w:r>
      <w:r>
        <w:rPr>
          <w:rFonts w:ascii="Times New Roman" w:hAnsi="Times New Roman" w:eastAsia="仿宋" w:cs="Times New Roman"/>
          <w:bCs/>
          <w:kern w:val="0"/>
          <w:sz w:val="32"/>
          <w:szCs w:val="32"/>
        </w:rPr>
        <w:t>《</w:t>
      </w:r>
      <w:r>
        <w:rPr>
          <w:rFonts w:hint="eastAsia" w:ascii="Times New Roman" w:hAnsi="Times New Roman" w:eastAsia="仿宋" w:cs="Times New Roman"/>
          <w:bCs/>
          <w:kern w:val="0"/>
          <w:sz w:val="32"/>
          <w:szCs w:val="32"/>
        </w:rPr>
        <w:t>困境儿童家庭监护能力评估</w:t>
      </w:r>
      <w:r>
        <w:rPr>
          <w:rFonts w:ascii="Times New Roman" w:hAnsi="Times New Roman" w:eastAsia="仿宋" w:cs="Times New Roman"/>
          <w:bCs/>
          <w:kern w:val="0"/>
          <w:sz w:val="32"/>
          <w:szCs w:val="32"/>
        </w:rPr>
        <w:t>》</w:t>
      </w:r>
      <w:r>
        <w:rPr>
          <w:rFonts w:hint="eastAsia" w:ascii="Times New Roman" w:hAnsi="Times New Roman" w:eastAsia="仿宋" w:cs="Times New Roman"/>
          <w:bCs/>
          <w:kern w:val="0"/>
          <w:sz w:val="32"/>
          <w:szCs w:val="32"/>
        </w:rPr>
        <w:t>的总体框架和主要技术内容，并结合我省困境儿童家庭监护能力评估工作实际</w:t>
      </w:r>
      <w:r>
        <w:rPr>
          <w:rFonts w:ascii="Times New Roman" w:hAnsi="Times New Roman" w:eastAsia="仿宋" w:cs="Times New Roman"/>
          <w:bCs/>
          <w:kern w:val="0"/>
          <w:sz w:val="32"/>
          <w:szCs w:val="32"/>
        </w:rPr>
        <w:t>和行业未来发展</w:t>
      </w:r>
      <w:r>
        <w:rPr>
          <w:rFonts w:hint="eastAsia" w:ascii="Times New Roman" w:hAnsi="Times New Roman" w:eastAsia="仿宋" w:cs="Times New Roman"/>
          <w:bCs/>
          <w:kern w:val="0"/>
          <w:sz w:val="32"/>
          <w:szCs w:val="32"/>
        </w:rPr>
        <w:t>需求</w:t>
      </w:r>
      <w:r>
        <w:rPr>
          <w:rFonts w:ascii="Times New Roman" w:hAnsi="Times New Roman" w:eastAsia="仿宋" w:cs="Times New Roman"/>
          <w:bCs/>
          <w:kern w:val="0"/>
          <w:sz w:val="32"/>
          <w:szCs w:val="32"/>
        </w:rPr>
        <w:t>的同时，</w:t>
      </w:r>
      <w:r>
        <w:rPr>
          <w:rFonts w:hint="eastAsia" w:ascii="Times New Roman" w:hAnsi="Times New Roman" w:eastAsia="仿宋" w:cs="Times New Roman"/>
          <w:bCs/>
          <w:kern w:val="0"/>
          <w:sz w:val="32"/>
          <w:szCs w:val="32"/>
        </w:rPr>
        <w:t>完成了标准草案编写工作。</w:t>
      </w:r>
    </w:p>
    <w:p w14:paraId="063B01EF">
      <w:pPr>
        <w:keepNext w:val="0"/>
        <w:keepLines w:val="0"/>
        <w:pageBreakBefore w:val="0"/>
        <w:kinsoku/>
        <w:wordWrap/>
        <w:overflowPunct/>
        <w:topLinePunct w:val="0"/>
        <w:bidi w:val="0"/>
        <w:adjustRightInd/>
        <w:snapToGrid/>
        <w:spacing w:line="600" w:lineRule="exact"/>
        <w:ind w:right="0" w:firstLine="643" w:firstLineChars="200"/>
        <w:jc w:val="left"/>
        <w:textAlignment w:val="auto"/>
        <w:rPr>
          <w:rFonts w:ascii="Times New Roman" w:hAnsi="Times New Roman" w:eastAsia="仿宋" w:cs="Times New Roman"/>
          <w:b/>
          <w:kern w:val="0"/>
          <w:sz w:val="32"/>
          <w:szCs w:val="32"/>
        </w:rPr>
      </w:pPr>
      <w:r>
        <w:rPr>
          <w:rFonts w:ascii="Times New Roman" w:hAnsi="Times New Roman" w:eastAsia="仿宋" w:cs="Times New Roman"/>
          <w:b/>
          <w:kern w:val="0"/>
          <w:sz w:val="32"/>
          <w:szCs w:val="32"/>
        </w:rPr>
        <w:t xml:space="preserve">3. </w:t>
      </w:r>
      <w:r>
        <w:rPr>
          <w:rFonts w:hint="eastAsia" w:ascii="Times New Roman" w:hAnsi="Times New Roman" w:eastAsia="仿宋" w:cs="Times New Roman"/>
          <w:b/>
          <w:kern w:val="0"/>
          <w:sz w:val="32"/>
          <w:szCs w:val="32"/>
        </w:rPr>
        <w:t>形成</w:t>
      </w:r>
      <w:r>
        <w:rPr>
          <w:rFonts w:ascii="Times New Roman" w:hAnsi="Times New Roman" w:eastAsia="仿宋" w:cs="Times New Roman"/>
          <w:b/>
          <w:kern w:val="0"/>
          <w:sz w:val="32"/>
          <w:szCs w:val="32"/>
        </w:rPr>
        <w:t>工作组讨论稿</w:t>
      </w:r>
    </w:p>
    <w:p w14:paraId="4ED9D402">
      <w:pPr>
        <w:keepNext w:val="0"/>
        <w:keepLines w:val="0"/>
        <w:pageBreakBefore w:val="0"/>
        <w:kinsoku/>
        <w:wordWrap/>
        <w:overflowPunct/>
        <w:topLinePunct w:val="0"/>
        <w:bidi w:val="0"/>
        <w:adjustRightInd/>
        <w:snapToGrid/>
        <w:spacing w:line="600" w:lineRule="exact"/>
        <w:ind w:right="0" w:firstLine="640" w:firstLineChars="200"/>
        <w:textAlignment w:val="auto"/>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为保证标准修订内容的质量与水平，提升标准实用性和可操作性，2</w:t>
      </w:r>
      <w:r>
        <w:rPr>
          <w:rFonts w:ascii="Times New Roman" w:hAnsi="Times New Roman" w:eastAsia="仿宋" w:cs="Times New Roman"/>
          <w:kern w:val="0"/>
          <w:sz w:val="32"/>
          <w:szCs w:val="32"/>
        </w:rPr>
        <w:t>025</w:t>
      </w:r>
      <w:r>
        <w:rPr>
          <w:rFonts w:hint="eastAsia" w:ascii="Times New Roman" w:hAnsi="Times New Roman" w:eastAsia="仿宋" w:cs="Times New Roman"/>
          <w:kern w:val="0"/>
          <w:sz w:val="32"/>
          <w:szCs w:val="32"/>
        </w:rPr>
        <w:t>年</w:t>
      </w:r>
      <w:r>
        <w:rPr>
          <w:rFonts w:ascii="Times New Roman" w:hAnsi="Times New Roman" w:eastAsia="仿宋" w:cs="Times New Roman"/>
          <w:kern w:val="0"/>
          <w:sz w:val="32"/>
          <w:szCs w:val="32"/>
        </w:rPr>
        <w:t>7</w:t>
      </w:r>
      <w:r>
        <w:rPr>
          <w:rFonts w:hint="eastAsia" w:ascii="Times New Roman" w:hAnsi="Times New Roman" w:eastAsia="仿宋" w:cs="Times New Roman"/>
          <w:kern w:val="0"/>
          <w:sz w:val="32"/>
          <w:szCs w:val="32"/>
        </w:rPr>
        <w:t>月2日，标准编制工作组组织召开湖南省地方标准</w:t>
      </w:r>
      <w:r>
        <w:rPr>
          <w:rFonts w:ascii="Times New Roman" w:hAnsi="Times New Roman" w:eastAsia="仿宋" w:cs="Times New Roman"/>
          <w:bCs/>
          <w:kern w:val="0"/>
          <w:sz w:val="32"/>
          <w:szCs w:val="32"/>
        </w:rPr>
        <w:t>《</w:t>
      </w:r>
      <w:r>
        <w:rPr>
          <w:rFonts w:hint="eastAsia" w:ascii="Times New Roman" w:hAnsi="Times New Roman" w:eastAsia="仿宋" w:cs="Times New Roman"/>
          <w:bCs/>
          <w:kern w:val="0"/>
          <w:sz w:val="32"/>
          <w:szCs w:val="32"/>
        </w:rPr>
        <w:t>困境儿童家庭监护能力评估</w:t>
      </w:r>
      <w:r>
        <w:rPr>
          <w:rFonts w:ascii="Times New Roman" w:hAnsi="Times New Roman" w:eastAsia="仿宋" w:cs="Times New Roman"/>
          <w:bCs/>
          <w:kern w:val="0"/>
          <w:sz w:val="32"/>
          <w:szCs w:val="32"/>
        </w:rPr>
        <w:t>》</w:t>
      </w:r>
      <w:r>
        <w:rPr>
          <w:rFonts w:hint="eastAsia" w:ascii="Times New Roman" w:hAnsi="Times New Roman" w:eastAsia="仿宋" w:cs="Times New Roman"/>
          <w:kern w:val="0"/>
          <w:sz w:val="32"/>
          <w:szCs w:val="32"/>
        </w:rPr>
        <w:t>内部研讨座谈会，会议邀请了省内标准化领域相关专家、民政部门相关领导、专家，共同为标准编制工作建言献策。与会人员结合自身工作经验与研究领域，为标准制定工作提供了宝贵的意见和建议，围绕标准章节架构设计、主要技术内容的科学性与合理性等进行深入交流探讨，进一步明确了标准编制的思路和方向。会后，标准编制工作组根据会议提出的意见和建议对标准进行了修改完善，形成了标准工作组讨论稿。</w:t>
      </w:r>
    </w:p>
    <w:p w14:paraId="4A7750F0">
      <w:pPr>
        <w:keepNext w:val="0"/>
        <w:keepLines w:val="0"/>
        <w:pageBreakBefore w:val="0"/>
        <w:kinsoku/>
        <w:wordWrap/>
        <w:overflowPunct/>
        <w:topLinePunct w:val="0"/>
        <w:bidi w:val="0"/>
        <w:adjustRightInd/>
        <w:snapToGrid/>
        <w:spacing w:line="600" w:lineRule="exact"/>
        <w:ind w:right="0" w:firstLine="643" w:firstLineChars="200"/>
        <w:jc w:val="left"/>
        <w:textAlignment w:val="auto"/>
        <w:rPr>
          <w:rFonts w:ascii="Times New Roman" w:hAnsi="Times New Roman" w:eastAsia="仿宋" w:cs="Times New Roman"/>
          <w:b/>
          <w:kern w:val="0"/>
          <w:sz w:val="32"/>
          <w:szCs w:val="32"/>
        </w:rPr>
      </w:pPr>
      <w:r>
        <w:rPr>
          <w:rFonts w:ascii="Times New Roman" w:hAnsi="Times New Roman" w:eastAsia="仿宋" w:cs="Times New Roman"/>
          <w:b/>
          <w:kern w:val="0"/>
          <w:sz w:val="32"/>
          <w:szCs w:val="32"/>
        </w:rPr>
        <w:t>4.</w:t>
      </w:r>
      <w:r>
        <w:rPr>
          <w:rFonts w:hint="eastAsia" w:ascii="Times New Roman" w:hAnsi="Times New Roman" w:eastAsia="仿宋" w:cs="Times New Roman"/>
          <w:b/>
          <w:kern w:val="0"/>
          <w:sz w:val="32"/>
          <w:szCs w:val="32"/>
        </w:rPr>
        <w:t>组织开展实地调研</w:t>
      </w:r>
    </w:p>
    <w:p w14:paraId="089C8F74">
      <w:pPr>
        <w:keepNext w:val="0"/>
        <w:keepLines w:val="0"/>
        <w:pageBreakBefore w:val="0"/>
        <w:kinsoku/>
        <w:wordWrap/>
        <w:overflowPunct/>
        <w:topLinePunct w:val="0"/>
        <w:bidi w:val="0"/>
        <w:adjustRightInd/>
        <w:snapToGrid/>
        <w:spacing w:line="600" w:lineRule="exact"/>
        <w:ind w:right="0" w:firstLine="640" w:firstLineChars="200"/>
        <w:textAlignment w:val="auto"/>
        <w:rPr>
          <w:rFonts w:ascii="Times New Roman" w:hAnsi="Times New Roman" w:eastAsia="仿宋" w:cs="Times New Roman"/>
          <w:spacing w:val="-6"/>
          <w:kern w:val="0"/>
          <w:sz w:val="32"/>
          <w:szCs w:val="32"/>
        </w:rPr>
      </w:pPr>
      <w:r>
        <w:rPr>
          <w:rFonts w:hint="eastAsia" w:ascii="Times New Roman" w:hAnsi="Times New Roman" w:eastAsia="仿宋" w:cs="Times New Roman"/>
          <w:kern w:val="0"/>
          <w:sz w:val="32"/>
          <w:szCs w:val="32"/>
        </w:rPr>
        <w:t>2</w:t>
      </w:r>
      <w:r>
        <w:rPr>
          <w:rFonts w:ascii="Times New Roman" w:hAnsi="Times New Roman" w:eastAsia="仿宋" w:cs="Times New Roman"/>
          <w:kern w:val="0"/>
          <w:sz w:val="32"/>
          <w:szCs w:val="32"/>
        </w:rPr>
        <w:t>025</w:t>
      </w:r>
      <w:r>
        <w:rPr>
          <w:rFonts w:hint="eastAsia" w:ascii="Times New Roman" w:hAnsi="Times New Roman" w:eastAsia="仿宋" w:cs="Times New Roman"/>
          <w:kern w:val="0"/>
          <w:sz w:val="32"/>
          <w:szCs w:val="32"/>
        </w:rPr>
        <w:t>年7月1</w:t>
      </w:r>
      <w:r>
        <w:rPr>
          <w:rFonts w:ascii="Times New Roman" w:hAnsi="Times New Roman" w:eastAsia="仿宋" w:cs="Times New Roman"/>
          <w:kern w:val="0"/>
          <w:sz w:val="32"/>
          <w:szCs w:val="32"/>
        </w:rPr>
        <w:t>6</w:t>
      </w:r>
      <w:r>
        <w:rPr>
          <w:rFonts w:hint="eastAsia" w:ascii="Times New Roman" w:hAnsi="Times New Roman" w:eastAsia="仿宋" w:cs="Times New Roman"/>
          <w:kern w:val="0"/>
          <w:sz w:val="32"/>
          <w:szCs w:val="32"/>
        </w:rPr>
        <w:t>日，为提升标准编制的科学性和可操作性，标准编制工作组赴涟源开展实地调研，标准编制工作组通过座谈调研、实地查看、现场交流等方式，全面了解涟源市困境儿童家庭监护能力评估工作开展实际情况以及工作中面临的困难和问</w:t>
      </w:r>
      <w:r>
        <w:rPr>
          <w:rFonts w:hint="eastAsia" w:ascii="Times New Roman" w:hAnsi="Times New Roman" w:eastAsia="仿宋" w:cs="Times New Roman"/>
          <w:spacing w:val="-6"/>
          <w:kern w:val="0"/>
          <w:sz w:val="32"/>
          <w:szCs w:val="32"/>
        </w:rPr>
        <w:t xml:space="preserve">题，进一步明确了困境儿童家庭监护能力评估工作中的标准化需求。 </w:t>
      </w:r>
    </w:p>
    <w:p w14:paraId="3D9A6C41">
      <w:pPr>
        <w:keepNext w:val="0"/>
        <w:keepLines w:val="0"/>
        <w:pageBreakBefore w:val="0"/>
        <w:kinsoku/>
        <w:wordWrap/>
        <w:overflowPunct/>
        <w:topLinePunct w:val="0"/>
        <w:bidi w:val="0"/>
        <w:adjustRightInd/>
        <w:snapToGrid/>
        <w:spacing w:line="60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Times New Roman" w:eastAsia="仿宋" w:cs="Times New Roman"/>
          <w:b/>
          <w:kern w:val="0"/>
          <w:sz w:val="32"/>
          <w:szCs w:val="32"/>
        </w:rPr>
        <w:t>5.形成征求意见稿</w:t>
      </w:r>
    </w:p>
    <w:p w14:paraId="55268EAC">
      <w:pPr>
        <w:keepNext w:val="0"/>
        <w:keepLines w:val="0"/>
        <w:pageBreakBefore w:val="0"/>
        <w:kinsoku/>
        <w:wordWrap/>
        <w:overflowPunct/>
        <w:topLinePunct w:val="0"/>
        <w:bidi w:val="0"/>
        <w:adjustRightInd/>
        <w:snapToGrid/>
        <w:spacing w:line="600" w:lineRule="exact"/>
        <w:ind w:right="0" w:firstLine="640" w:firstLineChars="200"/>
        <w:textAlignment w:val="auto"/>
        <w:rPr>
          <w:rFonts w:eastAsia="仿宋"/>
          <w:kern w:val="0"/>
          <w:sz w:val="32"/>
          <w:szCs w:val="32"/>
        </w:rPr>
      </w:pPr>
      <w:r>
        <w:rPr>
          <w:rFonts w:hint="eastAsia" w:ascii="Times New Roman" w:hAnsi="Times New Roman" w:eastAsia="仿宋" w:cs="Times New Roman"/>
          <w:kern w:val="0"/>
          <w:sz w:val="32"/>
          <w:szCs w:val="32"/>
        </w:rPr>
        <w:t>标准编制工作组根据标准前期编制工作情况及调研情况，充分参考借鉴涟源市困境儿童家庭监护能力评估工作实际经验，对标准工作组讨论稿进行了修改完善，其中，重点对困境儿童家庭监护能力评估指标进行了调整，依据</w:t>
      </w:r>
      <w:r>
        <w:rPr>
          <w:rFonts w:eastAsia="仿宋"/>
          <w:kern w:val="0"/>
          <w:sz w:val="32"/>
          <w:szCs w:val="32"/>
        </w:rPr>
        <w:t>《湖南省未成年人家庭监护能力</w:t>
      </w:r>
      <w:r>
        <w:rPr>
          <w:rFonts w:ascii="Times New Roman" w:hAnsi="Times New Roman" w:eastAsia="仿宋" w:cs="Times New Roman"/>
          <w:kern w:val="0"/>
          <w:sz w:val="32"/>
          <w:szCs w:val="32"/>
        </w:rPr>
        <w:t>评估办法》</w:t>
      </w:r>
      <w:r>
        <w:rPr>
          <w:rFonts w:hint="eastAsia" w:ascii="Times New Roman" w:hAnsi="Times New Roman" w:eastAsia="仿宋" w:cs="Times New Roman"/>
          <w:kern w:val="0"/>
          <w:sz w:val="32"/>
          <w:szCs w:val="32"/>
        </w:rPr>
        <w:t>要求，将困境儿童家庭监护能力评估指标按照“</w:t>
      </w:r>
      <w:r>
        <w:rPr>
          <w:rFonts w:ascii="Times New Roman" w:hAnsi="Times New Roman" w:eastAsia="仿宋" w:cs="Times New Roman"/>
          <w:kern w:val="0"/>
          <w:sz w:val="32"/>
          <w:szCs w:val="32"/>
        </w:rPr>
        <w:t>家庭监护质量评估和监护人监护能力评估</w:t>
      </w:r>
      <w:r>
        <w:rPr>
          <w:rFonts w:hint="eastAsia" w:ascii="Times New Roman" w:hAnsi="Times New Roman" w:eastAsia="仿宋" w:cs="Times New Roman"/>
          <w:kern w:val="0"/>
          <w:sz w:val="32"/>
          <w:szCs w:val="32"/>
        </w:rPr>
        <w:t>”两个维度进行划分，并在结合涟源市困境儿童家庭监护能力评估指标的基础上，对评估指标进行了优化、补充和细化，同时，对标准文本内容进行了修改完善后，形成了标准征求意见稿。</w:t>
      </w:r>
    </w:p>
    <w:p w14:paraId="2B8C4392">
      <w:pPr>
        <w:keepNext w:val="0"/>
        <w:keepLines w:val="0"/>
        <w:pageBreakBefore w:val="0"/>
        <w:kinsoku/>
        <w:wordWrap/>
        <w:overflowPunct/>
        <w:topLinePunct w:val="0"/>
        <w:bidi w:val="0"/>
        <w:adjustRightInd/>
        <w:snapToGrid/>
        <w:spacing w:line="600" w:lineRule="exact"/>
        <w:ind w:right="0" w:firstLine="643" w:firstLineChars="200"/>
        <w:jc w:val="left"/>
        <w:textAlignment w:val="auto"/>
        <w:rPr>
          <w:rFonts w:ascii="Times New Roman" w:hAnsi="Times New Roman" w:eastAsia="黑体" w:cs="Times New Roman"/>
          <w:b/>
          <w:kern w:val="0"/>
          <w:sz w:val="32"/>
          <w:szCs w:val="32"/>
        </w:rPr>
      </w:pPr>
      <w:r>
        <w:rPr>
          <w:rFonts w:ascii="Times New Roman" w:hAnsi="Times New Roman" w:eastAsia="黑体" w:cs="Times New Roman"/>
          <w:b/>
          <w:kern w:val="0"/>
          <w:sz w:val="32"/>
          <w:szCs w:val="32"/>
        </w:rPr>
        <w:t>三、标准编制原则与主要内容</w:t>
      </w:r>
    </w:p>
    <w:p w14:paraId="483C272E">
      <w:pPr>
        <w:keepNext w:val="0"/>
        <w:keepLines w:val="0"/>
        <w:pageBreakBefore w:val="0"/>
        <w:kinsoku/>
        <w:wordWrap/>
        <w:overflowPunct/>
        <w:topLinePunct w:val="0"/>
        <w:bidi w:val="0"/>
        <w:adjustRightInd/>
        <w:snapToGrid/>
        <w:spacing w:line="600" w:lineRule="exact"/>
        <w:ind w:right="0" w:firstLine="643" w:firstLineChars="200"/>
        <w:jc w:val="left"/>
        <w:textAlignment w:val="auto"/>
        <w:rPr>
          <w:rFonts w:ascii="Times New Roman" w:hAnsi="Times New Roman" w:eastAsia="楷体" w:cs="Times New Roman"/>
          <w:b/>
          <w:bCs/>
          <w:kern w:val="0"/>
          <w:sz w:val="32"/>
          <w:szCs w:val="32"/>
        </w:rPr>
      </w:pPr>
      <w:r>
        <w:rPr>
          <w:rFonts w:ascii="Times New Roman" w:hAnsi="Times New Roman" w:eastAsia="楷体" w:cs="Times New Roman"/>
          <w:b/>
          <w:bCs/>
          <w:kern w:val="0"/>
          <w:sz w:val="32"/>
          <w:szCs w:val="32"/>
        </w:rPr>
        <w:t>（一）编制原则</w:t>
      </w:r>
    </w:p>
    <w:p w14:paraId="2339CF04">
      <w:pPr>
        <w:keepNext w:val="0"/>
        <w:keepLines w:val="0"/>
        <w:pageBreakBefore w:val="0"/>
        <w:kinsoku/>
        <w:wordWrap/>
        <w:overflowPunct/>
        <w:topLinePunct w:val="0"/>
        <w:bidi w:val="0"/>
        <w:adjustRightInd/>
        <w:snapToGrid/>
        <w:spacing w:line="600" w:lineRule="exact"/>
        <w:ind w:right="0" w:firstLine="640" w:firstLineChars="200"/>
        <w:textAlignment w:val="auto"/>
        <w:rPr>
          <w:rFonts w:ascii="仿宋" w:hAnsi="仿宋" w:eastAsia="仿宋" w:cs="Times New Roman"/>
          <w:kern w:val="0"/>
          <w:sz w:val="32"/>
          <w:szCs w:val="32"/>
        </w:rPr>
      </w:pPr>
      <w:r>
        <w:rPr>
          <w:rFonts w:ascii="仿宋" w:hAnsi="仿宋" w:eastAsia="仿宋" w:cs="Times New Roman"/>
          <w:kern w:val="0"/>
          <w:sz w:val="32"/>
          <w:szCs w:val="32"/>
        </w:rPr>
        <w:t>本标准是依据《中华人民共和国标准化法》《中华人民共和国标准化法实施条例》《湖南省地方标准管理办法》的等要求，按照《GB/T 1.1-2020 标准化工作导则 第1部分：标准化文件的结构和起草规则》等法律法规、标准的规定制定。本标准制定遵循了以下原则：</w:t>
      </w:r>
    </w:p>
    <w:p w14:paraId="69F5E23F">
      <w:pPr>
        <w:keepNext w:val="0"/>
        <w:keepLines w:val="0"/>
        <w:pageBreakBefore w:val="0"/>
        <w:kinsoku/>
        <w:wordWrap/>
        <w:overflowPunct/>
        <w:topLinePunct w:val="0"/>
        <w:bidi w:val="0"/>
        <w:adjustRightInd/>
        <w:snapToGrid/>
        <w:spacing w:line="600" w:lineRule="exact"/>
        <w:ind w:right="0" w:firstLine="643" w:firstLineChars="200"/>
        <w:jc w:val="left"/>
        <w:textAlignment w:val="auto"/>
        <w:rPr>
          <w:rFonts w:ascii="Times New Roman" w:hAnsi="Times New Roman" w:eastAsia="仿宋" w:cs="Times New Roman"/>
          <w:b/>
          <w:bCs/>
          <w:kern w:val="0"/>
          <w:sz w:val="32"/>
          <w:szCs w:val="32"/>
        </w:rPr>
      </w:pPr>
      <w:r>
        <w:rPr>
          <w:rFonts w:ascii="Times New Roman" w:hAnsi="Times New Roman" w:eastAsia="仿宋" w:cs="Times New Roman"/>
          <w:b/>
          <w:bCs/>
          <w:kern w:val="0"/>
          <w:sz w:val="32"/>
          <w:szCs w:val="32"/>
        </w:rPr>
        <w:t>1.合规性原则</w:t>
      </w:r>
    </w:p>
    <w:p w14:paraId="0D757117">
      <w:pPr>
        <w:keepNext w:val="0"/>
        <w:keepLines w:val="0"/>
        <w:pageBreakBefore w:val="0"/>
        <w:kinsoku/>
        <w:wordWrap/>
        <w:overflowPunct/>
        <w:topLinePunct w:val="0"/>
        <w:bidi w:val="0"/>
        <w:adjustRightInd/>
        <w:snapToGrid/>
        <w:spacing w:line="600" w:lineRule="exact"/>
        <w:ind w:right="0" w:firstLine="640" w:firstLineChars="200"/>
        <w:textAlignment w:val="auto"/>
        <w:rPr>
          <w:rFonts w:ascii="仿宋" w:hAnsi="仿宋" w:eastAsia="仿宋" w:cs="Times New Roman"/>
          <w:kern w:val="0"/>
          <w:sz w:val="32"/>
          <w:szCs w:val="32"/>
        </w:rPr>
      </w:pPr>
      <w:r>
        <w:rPr>
          <w:rFonts w:ascii="仿宋" w:hAnsi="仿宋" w:eastAsia="仿宋" w:cs="Times New Roman"/>
          <w:kern w:val="0"/>
          <w:sz w:val="32"/>
          <w:szCs w:val="32"/>
        </w:rPr>
        <w:t>本标准</w:t>
      </w:r>
      <w:r>
        <w:rPr>
          <w:rFonts w:hint="eastAsia" w:ascii="仿宋" w:hAnsi="仿宋" w:eastAsia="仿宋" w:cs="Times New Roman"/>
          <w:kern w:val="0"/>
          <w:sz w:val="32"/>
          <w:szCs w:val="32"/>
        </w:rPr>
        <w:t>制定程序</w:t>
      </w:r>
      <w:r>
        <w:rPr>
          <w:rFonts w:ascii="仿宋" w:hAnsi="仿宋" w:eastAsia="仿宋" w:cs="Times New Roman"/>
          <w:kern w:val="0"/>
          <w:sz w:val="32"/>
          <w:szCs w:val="32"/>
        </w:rPr>
        <w:t>、确定的</w:t>
      </w:r>
      <w:r>
        <w:rPr>
          <w:rFonts w:hint="eastAsia" w:ascii="仿宋" w:hAnsi="仿宋" w:eastAsia="仿宋" w:cs="Times New Roman"/>
          <w:kern w:val="0"/>
          <w:sz w:val="32"/>
          <w:szCs w:val="32"/>
        </w:rPr>
        <w:t>技术</w:t>
      </w:r>
      <w:r>
        <w:rPr>
          <w:rFonts w:ascii="仿宋" w:hAnsi="仿宋" w:eastAsia="仿宋" w:cs="Times New Roman"/>
          <w:kern w:val="0"/>
          <w:sz w:val="32"/>
          <w:szCs w:val="32"/>
        </w:rPr>
        <w:t>内容和文本格式遵循了国家有关法律、法规和标准要求，符合国家、地方和标准化</w:t>
      </w:r>
      <w:r>
        <w:rPr>
          <w:rFonts w:hint="eastAsia" w:ascii="仿宋" w:hAnsi="仿宋" w:eastAsia="仿宋" w:cs="Times New Roman"/>
          <w:kern w:val="0"/>
          <w:sz w:val="32"/>
          <w:szCs w:val="32"/>
        </w:rPr>
        <w:t>管理工作</w:t>
      </w:r>
      <w:r>
        <w:rPr>
          <w:rFonts w:ascii="仿宋" w:hAnsi="仿宋" w:eastAsia="仿宋" w:cs="Times New Roman"/>
          <w:kern w:val="0"/>
          <w:sz w:val="32"/>
          <w:szCs w:val="32"/>
        </w:rPr>
        <w:t>的相关规定。</w:t>
      </w:r>
    </w:p>
    <w:p w14:paraId="55DE1439">
      <w:pPr>
        <w:keepNext w:val="0"/>
        <w:keepLines w:val="0"/>
        <w:pageBreakBefore w:val="0"/>
        <w:kinsoku/>
        <w:wordWrap/>
        <w:overflowPunct/>
        <w:topLinePunct w:val="0"/>
        <w:bidi w:val="0"/>
        <w:adjustRightInd/>
        <w:snapToGrid/>
        <w:spacing w:line="600" w:lineRule="exact"/>
        <w:ind w:right="0" w:firstLine="643" w:firstLineChars="200"/>
        <w:jc w:val="left"/>
        <w:textAlignment w:val="auto"/>
        <w:rPr>
          <w:rFonts w:ascii="Times New Roman" w:hAnsi="Times New Roman" w:eastAsia="仿宋" w:cs="Times New Roman"/>
          <w:b/>
          <w:bCs/>
          <w:kern w:val="0"/>
          <w:sz w:val="32"/>
          <w:szCs w:val="32"/>
        </w:rPr>
      </w:pPr>
      <w:r>
        <w:rPr>
          <w:rFonts w:ascii="Times New Roman" w:hAnsi="Times New Roman" w:eastAsia="仿宋" w:cs="Times New Roman"/>
          <w:b/>
          <w:bCs/>
          <w:kern w:val="0"/>
          <w:sz w:val="32"/>
          <w:szCs w:val="32"/>
        </w:rPr>
        <w:t>2.</w:t>
      </w:r>
      <w:r>
        <w:rPr>
          <w:rFonts w:hint="eastAsia" w:ascii="Times New Roman" w:hAnsi="Times New Roman" w:eastAsia="仿宋" w:cs="Times New Roman"/>
          <w:b/>
          <w:bCs/>
          <w:kern w:val="0"/>
          <w:sz w:val="32"/>
          <w:szCs w:val="32"/>
        </w:rPr>
        <w:t xml:space="preserve"> 可操作性</w:t>
      </w:r>
      <w:r>
        <w:rPr>
          <w:rFonts w:ascii="Times New Roman" w:hAnsi="Times New Roman" w:eastAsia="仿宋" w:cs="Times New Roman"/>
          <w:b/>
          <w:bCs/>
          <w:kern w:val="0"/>
          <w:sz w:val="32"/>
          <w:szCs w:val="32"/>
        </w:rPr>
        <w:t>原则</w:t>
      </w:r>
    </w:p>
    <w:p w14:paraId="4536E74D">
      <w:pPr>
        <w:keepNext w:val="0"/>
        <w:keepLines w:val="0"/>
        <w:pageBreakBefore w:val="0"/>
        <w:kinsoku/>
        <w:wordWrap/>
        <w:overflowPunct/>
        <w:topLinePunct w:val="0"/>
        <w:bidi w:val="0"/>
        <w:adjustRightInd/>
        <w:snapToGrid/>
        <w:spacing w:line="600" w:lineRule="exact"/>
        <w:ind w:right="0" w:firstLine="640" w:firstLineChars="200"/>
        <w:textAlignment w:val="auto"/>
        <w:rPr>
          <w:rFonts w:ascii="仿宋" w:hAnsi="仿宋" w:eastAsia="仿宋" w:cs="Times New Roman"/>
          <w:kern w:val="0"/>
          <w:sz w:val="32"/>
          <w:szCs w:val="32"/>
        </w:rPr>
      </w:pPr>
      <w:r>
        <w:rPr>
          <w:rFonts w:hint="eastAsia" w:ascii="仿宋" w:hAnsi="仿宋" w:eastAsia="仿宋" w:cs="Times New Roman"/>
          <w:kern w:val="0"/>
          <w:sz w:val="32"/>
          <w:szCs w:val="32"/>
        </w:rPr>
        <w:t>本标准所确定的内容及各项要求，立足现实需求，统筹考虑了我省困境儿童家庭监护能力评估工作实际需求和差异，提出具体的措施和要求，技术要素设定先进合理，符合标准适用范围内的实际情况，实际可操作性强。</w:t>
      </w:r>
    </w:p>
    <w:p w14:paraId="067E92C9">
      <w:pPr>
        <w:keepNext w:val="0"/>
        <w:keepLines w:val="0"/>
        <w:pageBreakBefore w:val="0"/>
        <w:kinsoku/>
        <w:wordWrap/>
        <w:overflowPunct/>
        <w:topLinePunct w:val="0"/>
        <w:bidi w:val="0"/>
        <w:adjustRightInd/>
        <w:snapToGrid/>
        <w:spacing w:line="600" w:lineRule="exact"/>
        <w:ind w:right="0" w:firstLine="643" w:firstLineChars="200"/>
        <w:jc w:val="left"/>
        <w:textAlignment w:val="auto"/>
        <w:rPr>
          <w:rFonts w:ascii="Times New Roman" w:hAnsi="Times New Roman" w:eastAsia="仿宋" w:cs="Times New Roman"/>
          <w:b/>
          <w:bCs/>
          <w:kern w:val="0"/>
          <w:sz w:val="32"/>
          <w:szCs w:val="32"/>
        </w:rPr>
      </w:pPr>
      <w:r>
        <w:rPr>
          <w:rFonts w:ascii="Times New Roman" w:hAnsi="Times New Roman" w:eastAsia="仿宋" w:cs="Times New Roman"/>
          <w:b/>
          <w:bCs/>
          <w:kern w:val="0"/>
          <w:sz w:val="32"/>
          <w:szCs w:val="32"/>
        </w:rPr>
        <w:t>3.协调性原则</w:t>
      </w:r>
    </w:p>
    <w:p w14:paraId="268B3A68">
      <w:pPr>
        <w:keepNext w:val="0"/>
        <w:keepLines w:val="0"/>
        <w:pageBreakBefore w:val="0"/>
        <w:kinsoku/>
        <w:wordWrap/>
        <w:overflowPunct/>
        <w:topLinePunct w:val="0"/>
        <w:bidi w:val="0"/>
        <w:adjustRightInd/>
        <w:snapToGrid/>
        <w:spacing w:line="600" w:lineRule="exact"/>
        <w:ind w:right="0" w:firstLine="640" w:firstLineChars="200"/>
        <w:textAlignment w:val="auto"/>
        <w:rPr>
          <w:rFonts w:ascii="仿宋" w:hAnsi="仿宋" w:eastAsia="仿宋" w:cs="Times New Roman"/>
          <w:kern w:val="0"/>
          <w:sz w:val="32"/>
          <w:szCs w:val="32"/>
        </w:rPr>
      </w:pPr>
      <w:r>
        <w:rPr>
          <w:rFonts w:ascii="仿宋" w:hAnsi="仿宋" w:eastAsia="仿宋" w:cs="Times New Roman"/>
          <w:kern w:val="0"/>
          <w:sz w:val="32"/>
          <w:szCs w:val="32"/>
        </w:rPr>
        <w:t>本标准所确定的内容及各项要求，与国家、行业其他相关法律法规及标准不矛盾、无冲突、</w:t>
      </w:r>
      <w:r>
        <w:rPr>
          <w:rFonts w:hint="eastAsia" w:ascii="仿宋" w:hAnsi="仿宋" w:eastAsia="仿宋" w:cs="Times New Roman"/>
          <w:kern w:val="0"/>
          <w:sz w:val="32"/>
          <w:szCs w:val="32"/>
        </w:rPr>
        <w:t>相协调</w:t>
      </w:r>
      <w:r>
        <w:rPr>
          <w:rFonts w:ascii="仿宋" w:hAnsi="仿宋" w:eastAsia="仿宋" w:cs="Times New Roman"/>
          <w:kern w:val="0"/>
          <w:sz w:val="32"/>
          <w:szCs w:val="32"/>
        </w:rPr>
        <w:t>，彼此之间协调性强。</w:t>
      </w:r>
      <w:r>
        <w:rPr>
          <w:rFonts w:hint="eastAsia" w:ascii="仿宋" w:hAnsi="仿宋" w:eastAsia="仿宋" w:cs="Times New Roman"/>
          <w:kern w:val="0"/>
          <w:sz w:val="32"/>
          <w:szCs w:val="32"/>
        </w:rPr>
        <w:t>标准编制过程中充分征求各相关部门的意见，协商一致、公开透明。</w:t>
      </w:r>
    </w:p>
    <w:p w14:paraId="36391A8E">
      <w:pPr>
        <w:keepNext w:val="0"/>
        <w:keepLines w:val="0"/>
        <w:pageBreakBefore w:val="0"/>
        <w:kinsoku/>
        <w:wordWrap/>
        <w:overflowPunct/>
        <w:topLinePunct w:val="0"/>
        <w:bidi w:val="0"/>
        <w:adjustRightInd/>
        <w:snapToGrid/>
        <w:spacing w:line="600" w:lineRule="exact"/>
        <w:ind w:right="0" w:firstLine="643" w:firstLineChars="200"/>
        <w:jc w:val="left"/>
        <w:textAlignment w:val="auto"/>
        <w:rPr>
          <w:rFonts w:ascii="Times New Roman" w:hAnsi="Times New Roman" w:eastAsia="仿宋" w:cs="Times New Roman"/>
          <w:b/>
          <w:bCs/>
          <w:kern w:val="0"/>
          <w:sz w:val="32"/>
          <w:szCs w:val="32"/>
        </w:rPr>
      </w:pPr>
      <w:r>
        <w:rPr>
          <w:rFonts w:ascii="Times New Roman" w:hAnsi="Times New Roman" w:eastAsia="仿宋" w:cs="Times New Roman"/>
          <w:b/>
          <w:bCs/>
          <w:kern w:val="0"/>
          <w:sz w:val="32"/>
          <w:szCs w:val="32"/>
        </w:rPr>
        <w:t>4.</w:t>
      </w:r>
      <w:r>
        <w:rPr>
          <w:rFonts w:hint="eastAsia" w:ascii="Times New Roman" w:hAnsi="Times New Roman" w:eastAsia="仿宋" w:cs="Times New Roman"/>
          <w:b/>
          <w:bCs/>
          <w:kern w:val="0"/>
          <w:sz w:val="32"/>
          <w:szCs w:val="32"/>
        </w:rPr>
        <w:t>前瞻性原则</w:t>
      </w:r>
    </w:p>
    <w:p w14:paraId="551501BC">
      <w:pPr>
        <w:keepNext w:val="0"/>
        <w:keepLines w:val="0"/>
        <w:pageBreakBefore w:val="0"/>
        <w:kinsoku/>
        <w:wordWrap/>
        <w:overflowPunct/>
        <w:topLinePunct w:val="0"/>
        <w:bidi w:val="0"/>
        <w:adjustRightInd/>
        <w:snapToGrid/>
        <w:spacing w:line="600" w:lineRule="exact"/>
        <w:ind w:right="0" w:firstLine="640" w:firstLineChars="200"/>
        <w:textAlignment w:val="auto"/>
        <w:rPr>
          <w:rFonts w:ascii="仿宋" w:hAnsi="仿宋" w:eastAsia="仿宋" w:cs="Times New Roman"/>
          <w:kern w:val="0"/>
          <w:sz w:val="32"/>
          <w:szCs w:val="32"/>
        </w:rPr>
      </w:pPr>
      <w:r>
        <w:rPr>
          <w:rFonts w:hint="eastAsia" w:ascii="仿宋" w:hAnsi="仿宋" w:eastAsia="仿宋" w:cs="Times New Roman"/>
          <w:kern w:val="0"/>
          <w:sz w:val="32"/>
          <w:szCs w:val="32"/>
        </w:rPr>
        <w:t>本标准是在紧密结合国省困境儿童关爱保护相关政策文件要求，以及充分考虑现阶段困境儿童关爱服务体系构建相关需求的基础上编制而成。目前暂时没有发布困境儿童家庭监护能力评估的国家标准、行业标准和湖南省地方标准。因此该文件的编制，有效填补了行业空白，标准个别评价指标设置适度超前，作为对行业发展的引导，能起到一定的示范引领作用，标准内容具有一定的先进性和前瞻性。</w:t>
      </w:r>
    </w:p>
    <w:p w14:paraId="55F012ED">
      <w:pPr>
        <w:keepNext w:val="0"/>
        <w:keepLines w:val="0"/>
        <w:pageBreakBefore w:val="0"/>
        <w:kinsoku/>
        <w:wordWrap/>
        <w:overflowPunct/>
        <w:topLinePunct w:val="0"/>
        <w:bidi w:val="0"/>
        <w:adjustRightInd/>
        <w:snapToGrid/>
        <w:spacing w:line="600" w:lineRule="exact"/>
        <w:ind w:right="0" w:firstLine="643" w:firstLineChars="200"/>
        <w:jc w:val="left"/>
        <w:textAlignment w:val="auto"/>
        <w:rPr>
          <w:rFonts w:ascii="Times New Roman" w:hAnsi="Times New Roman" w:eastAsia="楷体" w:cs="Times New Roman"/>
          <w:b/>
          <w:bCs/>
          <w:kern w:val="0"/>
          <w:sz w:val="32"/>
          <w:szCs w:val="32"/>
        </w:rPr>
      </w:pPr>
      <w:r>
        <w:rPr>
          <w:rFonts w:ascii="Times New Roman" w:hAnsi="Times New Roman" w:eastAsia="楷体" w:cs="Times New Roman"/>
          <w:b/>
          <w:bCs/>
          <w:kern w:val="0"/>
          <w:sz w:val="32"/>
          <w:szCs w:val="32"/>
        </w:rPr>
        <w:t>（二）主要内容的确定</w:t>
      </w:r>
    </w:p>
    <w:p w14:paraId="5FAE8C87">
      <w:pPr>
        <w:keepNext w:val="0"/>
        <w:keepLines w:val="0"/>
        <w:pageBreakBefore w:val="0"/>
        <w:kinsoku/>
        <w:wordWrap/>
        <w:overflowPunct/>
        <w:topLinePunct w:val="0"/>
        <w:bidi w:val="0"/>
        <w:adjustRightInd/>
        <w:snapToGrid/>
        <w:spacing w:line="600" w:lineRule="exact"/>
        <w:ind w:right="0" w:firstLine="643" w:firstLineChars="200"/>
        <w:jc w:val="left"/>
        <w:textAlignment w:val="auto"/>
        <w:rPr>
          <w:rFonts w:ascii="Times New Roman" w:hAnsi="Times New Roman" w:eastAsia="仿宋" w:cs="Times New Roman"/>
          <w:b/>
          <w:bCs/>
          <w:kern w:val="0"/>
          <w:sz w:val="32"/>
          <w:szCs w:val="32"/>
        </w:rPr>
      </w:pPr>
      <w:r>
        <w:rPr>
          <w:rFonts w:hint="eastAsia" w:ascii="Times New Roman" w:hAnsi="Times New Roman" w:eastAsia="仿宋" w:cs="Times New Roman"/>
          <w:b/>
          <w:bCs/>
          <w:kern w:val="0"/>
          <w:sz w:val="32"/>
          <w:szCs w:val="32"/>
        </w:rPr>
        <w:t>1</w:t>
      </w:r>
      <w:r>
        <w:rPr>
          <w:rFonts w:ascii="Times New Roman" w:hAnsi="Times New Roman" w:eastAsia="仿宋" w:cs="Times New Roman"/>
          <w:b/>
          <w:bCs/>
          <w:kern w:val="0"/>
          <w:sz w:val="32"/>
          <w:szCs w:val="32"/>
        </w:rPr>
        <w:t>.</w:t>
      </w:r>
      <w:r>
        <w:rPr>
          <w:rFonts w:hint="eastAsia" w:ascii="Times New Roman" w:hAnsi="Times New Roman" w:eastAsia="仿宋" w:cs="Times New Roman"/>
          <w:b/>
          <w:bCs/>
          <w:kern w:val="0"/>
          <w:sz w:val="32"/>
          <w:szCs w:val="32"/>
        </w:rPr>
        <w:t>标准整体架构</w:t>
      </w:r>
    </w:p>
    <w:p w14:paraId="54427A6E">
      <w:pPr>
        <w:keepNext w:val="0"/>
        <w:keepLines w:val="0"/>
        <w:pageBreakBefore w:val="0"/>
        <w:kinsoku/>
        <w:wordWrap/>
        <w:overflowPunct/>
        <w:topLinePunct w:val="0"/>
        <w:bidi w:val="0"/>
        <w:adjustRightInd/>
        <w:snapToGrid/>
        <w:spacing w:line="600" w:lineRule="exact"/>
        <w:ind w:right="0" w:firstLine="640" w:firstLineChars="200"/>
        <w:textAlignment w:val="auto"/>
        <w:rPr>
          <w:rFonts w:ascii="仿宋" w:hAnsi="仿宋" w:eastAsia="仿宋" w:cs="Times New Roman"/>
          <w:kern w:val="0"/>
          <w:sz w:val="32"/>
          <w:szCs w:val="32"/>
        </w:rPr>
      </w:pPr>
      <w:r>
        <w:rPr>
          <w:rFonts w:hint="eastAsia" w:ascii="仿宋" w:hAnsi="仿宋" w:eastAsia="仿宋" w:cs="Times New Roman"/>
          <w:kern w:val="0"/>
          <w:sz w:val="32"/>
          <w:szCs w:val="32"/>
        </w:rPr>
        <w:t>本标准由</w:t>
      </w:r>
      <w:r>
        <w:rPr>
          <w:rFonts w:ascii="仿宋" w:hAnsi="仿宋" w:eastAsia="仿宋" w:cs="Times New Roman"/>
          <w:kern w:val="0"/>
          <w:sz w:val="32"/>
          <w:szCs w:val="32"/>
        </w:rPr>
        <w:t>9</w:t>
      </w:r>
      <w:r>
        <w:rPr>
          <w:rFonts w:hint="eastAsia" w:ascii="仿宋" w:hAnsi="仿宋" w:eastAsia="仿宋" w:cs="Times New Roman"/>
          <w:kern w:val="0"/>
          <w:sz w:val="32"/>
          <w:szCs w:val="32"/>
        </w:rPr>
        <w:t>章和</w:t>
      </w:r>
      <w:bookmarkStart w:id="3" w:name="_Hlk182473450"/>
      <w:r>
        <w:rPr>
          <w:rFonts w:ascii="仿宋" w:hAnsi="仿宋" w:eastAsia="仿宋" w:cs="Times New Roman"/>
          <w:kern w:val="0"/>
          <w:sz w:val="32"/>
          <w:szCs w:val="32"/>
        </w:rPr>
        <w:t>4</w:t>
      </w:r>
      <w:r>
        <w:rPr>
          <w:rFonts w:hint="eastAsia" w:ascii="仿宋" w:hAnsi="仿宋" w:eastAsia="仿宋" w:cs="Times New Roman"/>
          <w:kern w:val="0"/>
          <w:sz w:val="32"/>
          <w:szCs w:val="32"/>
        </w:rPr>
        <w:t>个附录</w:t>
      </w:r>
      <w:bookmarkEnd w:id="3"/>
      <w:r>
        <w:rPr>
          <w:rFonts w:hint="eastAsia" w:ascii="仿宋" w:hAnsi="仿宋" w:eastAsia="仿宋" w:cs="Times New Roman"/>
          <w:kern w:val="0"/>
          <w:sz w:val="32"/>
          <w:szCs w:val="32"/>
        </w:rPr>
        <w:t>组成。标准主要内容包括评估原则、评估主体、评估内容、评估流程和评估结果及应用，</w:t>
      </w:r>
      <w:r>
        <w:rPr>
          <w:rFonts w:ascii="仿宋" w:hAnsi="仿宋" w:eastAsia="仿宋" w:cs="Times New Roman"/>
          <w:kern w:val="0"/>
          <w:sz w:val="32"/>
          <w:szCs w:val="32"/>
        </w:rPr>
        <w:t>4</w:t>
      </w:r>
      <w:r>
        <w:rPr>
          <w:rFonts w:hint="eastAsia" w:ascii="仿宋" w:hAnsi="仿宋" w:eastAsia="仿宋" w:cs="Times New Roman"/>
          <w:kern w:val="0"/>
          <w:sz w:val="32"/>
          <w:szCs w:val="32"/>
        </w:rPr>
        <w:t>个附录分别为：</w:t>
      </w:r>
      <w:r>
        <w:rPr>
          <w:rFonts w:ascii="仿宋" w:hAnsi="仿宋" w:eastAsia="仿宋" w:cs="Times New Roman"/>
          <w:kern w:val="0"/>
          <w:sz w:val="32"/>
          <w:szCs w:val="32"/>
        </w:rPr>
        <w:t>困境儿童家庭监护能力评估表</w:t>
      </w:r>
      <w:r>
        <w:rPr>
          <w:rFonts w:hint="eastAsia" w:ascii="仿宋" w:hAnsi="仿宋" w:eastAsia="仿宋" w:cs="Times New Roman"/>
          <w:kern w:val="0"/>
          <w:sz w:val="32"/>
          <w:szCs w:val="32"/>
        </w:rPr>
        <w:t>（规范性）、</w:t>
      </w:r>
      <w:r>
        <w:rPr>
          <w:rFonts w:ascii="仿宋" w:hAnsi="仿宋" w:eastAsia="仿宋" w:cs="Times New Roman"/>
          <w:kern w:val="0"/>
          <w:sz w:val="32"/>
          <w:szCs w:val="32"/>
        </w:rPr>
        <w:t>困境儿童家庭监护能力评估通知书</w:t>
      </w:r>
      <w:r>
        <w:rPr>
          <w:rFonts w:hint="eastAsia" w:ascii="仿宋" w:hAnsi="仿宋" w:eastAsia="仿宋" w:cs="Times New Roman"/>
          <w:kern w:val="0"/>
          <w:sz w:val="32"/>
          <w:szCs w:val="32"/>
        </w:rPr>
        <w:t>（资料性）、</w:t>
      </w:r>
      <w:r>
        <w:rPr>
          <w:rFonts w:ascii="仿宋" w:hAnsi="仿宋" w:eastAsia="仿宋" w:cs="Times New Roman"/>
          <w:kern w:val="0"/>
          <w:sz w:val="32"/>
          <w:szCs w:val="32"/>
        </w:rPr>
        <w:t>困境儿童家庭监护能力评估确认单（</w:t>
      </w:r>
      <w:r>
        <w:rPr>
          <w:rFonts w:hint="eastAsia" w:ascii="仿宋" w:hAnsi="仿宋" w:eastAsia="仿宋" w:cs="Times New Roman"/>
          <w:kern w:val="0"/>
          <w:sz w:val="32"/>
          <w:szCs w:val="32"/>
        </w:rPr>
        <w:t>资料性</w:t>
      </w:r>
      <w:r>
        <w:rPr>
          <w:rFonts w:ascii="仿宋" w:hAnsi="仿宋" w:eastAsia="仿宋" w:cs="Times New Roman"/>
          <w:kern w:val="0"/>
          <w:sz w:val="32"/>
          <w:szCs w:val="32"/>
        </w:rPr>
        <w:t>）</w:t>
      </w:r>
      <w:r>
        <w:rPr>
          <w:rFonts w:hint="eastAsia" w:ascii="仿宋" w:hAnsi="仿宋" w:eastAsia="仿宋" w:cs="Times New Roman"/>
          <w:kern w:val="0"/>
          <w:sz w:val="32"/>
          <w:szCs w:val="32"/>
        </w:rPr>
        <w:t>、</w:t>
      </w:r>
      <w:r>
        <w:rPr>
          <w:rFonts w:ascii="仿宋" w:hAnsi="仿宋" w:eastAsia="仿宋" w:cs="Times New Roman"/>
          <w:kern w:val="0"/>
          <w:sz w:val="32"/>
          <w:szCs w:val="32"/>
        </w:rPr>
        <w:t>困境儿童家庭监护能力评估报告（</w:t>
      </w:r>
      <w:r>
        <w:rPr>
          <w:rFonts w:hint="eastAsia" w:ascii="仿宋" w:hAnsi="仿宋" w:eastAsia="仿宋" w:cs="Times New Roman"/>
          <w:kern w:val="0"/>
          <w:sz w:val="32"/>
          <w:szCs w:val="32"/>
        </w:rPr>
        <w:t>资料性</w:t>
      </w:r>
      <w:r>
        <w:rPr>
          <w:rFonts w:ascii="仿宋" w:hAnsi="仿宋" w:eastAsia="仿宋" w:cs="Times New Roman"/>
          <w:kern w:val="0"/>
          <w:sz w:val="32"/>
          <w:szCs w:val="32"/>
        </w:rPr>
        <w:t>）</w:t>
      </w:r>
      <w:r>
        <w:rPr>
          <w:rFonts w:hint="eastAsia" w:ascii="仿宋" w:hAnsi="仿宋" w:eastAsia="仿宋" w:cs="Times New Roman"/>
          <w:kern w:val="0"/>
          <w:sz w:val="32"/>
          <w:szCs w:val="32"/>
        </w:rPr>
        <w:t>。</w:t>
      </w:r>
    </w:p>
    <w:p w14:paraId="2381F347">
      <w:pPr>
        <w:keepNext w:val="0"/>
        <w:keepLines w:val="0"/>
        <w:pageBreakBefore w:val="0"/>
        <w:kinsoku/>
        <w:wordWrap/>
        <w:overflowPunct/>
        <w:topLinePunct w:val="0"/>
        <w:bidi w:val="0"/>
        <w:adjustRightInd/>
        <w:snapToGrid/>
        <w:spacing w:line="600" w:lineRule="exact"/>
        <w:ind w:right="0" w:firstLine="643" w:firstLineChars="200"/>
        <w:jc w:val="left"/>
        <w:textAlignment w:val="auto"/>
        <w:rPr>
          <w:rFonts w:ascii="Times New Roman" w:hAnsi="Times New Roman" w:eastAsia="仿宋" w:cs="Times New Roman"/>
          <w:b/>
          <w:bCs/>
          <w:kern w:val="0"/>
          <w:sz w:val="32"/>
          <w:szCs w:val="32"/>
        </w:rPr>
      </w:pPr>
      <w:r>
        <w:rPr>
          <w:rFonts w:hint="eastAsia" w:ascii="Times New Roman" w:hAnsi="Times New Roman" w:eastAsia="仿宋" w:cs="Times New Roman"/>
          <w:b/>
          <w:bCs/>
          <w:kern w:val="0"/>
          <w:sz w:val="32"/>
          <w:szCs w:val="32"/>
        </w:rPr>
        <w:t>2</w:t>
      </w:r>
      <w:r>
        <w:rPr>
          <w:rFonts w:ascii="Times New Roman" w:hAnsi="Times New Roman" w:eastAsia="仿宋" w:cs="Times New Roman"/>
          <w:b/>
          <w:bCs/>
          <w:kern w:val="0"/>
          <w:sz w:val="32"/>
          <w:szCs w:val="32"/>
        </w:rPr>
        <w:t>.</w:t>
      </w:r>
      <w:r>
        <w:rPr>
          <w:rFonts w:hint="eastAsia" w:ascii="Times New Roman" w:hAnsi="Times New Roman" w:eastAsia="仿宋" w:cs="Times New Roman"/>
          <w:b/>
          <w:bCs/>
          <w:kern w:val="0"/>
          <w:sz w:val="32"/>
          <w:szCs w:val="32"/>
        </w:rPr>
        <w:t>主要技术内容</w:t>
      </w:r>
    </w:p>
    <w:p w14:paraId="1F2D8C24">
      <w:pPr>
        <w:keepNext w:val="0"/>
        <w:keepLines w:val="0"/>
        <w:pageBreakBefore w:val="0"/>
        <w:widowControl/>
        <w:kinsoku/>
        <w:wordWrap/>
        <w:overflowPunct/>
        <w:topLinePunct w:val="0"/>
        <w:bidi w:val="0"/>
        <w:adjustRightInd/>
        <w:snapToGrid/>
        <w:spacing w:line="600" w:lineRule="exact"/>
        <w:ind w:right="0" w:firstLine="643" w:firstLineChars="200"/>
        <w:textAlignment w:val="auto"/>
        <w:rPr>
          <w:rFonts w:ascii="仿宋" w:hAnsi="仿宋" w:eastAsia="仿宋" w:cs="Times New Roman"/>
          <w:kern w:val="0"/>
          <w:sz w:val="32"/>
          <w:szCs w:val="32"/>
        </w:rPr>
      </w:pPr>
      <w:r>
        <w:rPr>
          <w:rFonts w:hint="eastAsia" w:ascii="仿宋" w:hAnsi="仿宋" w:eastAsia="仿宋" w:cs="Times New Roman"/>
          <w:b/>
          <w:bCs/>
          <w:kern w:val="0"/>
          <w:sz w:val="32"/>
          <w:szCs w:val="32"/>
        </w:rPr>
        <w:t>标准第1章“范围”，</w:t>
      </w:r>
      <w:r>
        <w:rPr>
          <w:rFonts w:hint="eastAsia" w:ascii="仿宋" w:hAnsi="仿宋" w:eastAsia="仿宋" w:cs="Times New Roman"/>
          <w:kern w:val="0"/>
          <w:sz w:val="32"/>
          <w:szCs w:val="32"/>
        </w:rPr>
        <w:t>对标准的适用范围进行了界定，本文件规定了</w:t>
      </w:r>
      <w:bookmarkStart w:id="4" w:name="_Hlk204152754"/>
      <w:r>
        <w:rPr>
          <w:rFonts w:hint="eastAsia" w:ascii="仿宋" w:hAnsi="仿宋" w:eastAsia="仿宋" w:cs="Times New Roman"/>
          <w:kern w:val="0"/>
          <w:sz w:val="32"/>
          <w:szCs w:val="32"/>
        </w:rPr>
        <w:t>困境儿童家庭监护能力评估</w:t>
      </w:r>
      <w:bookmarkEnd w:id="4"/>
      <w:r>
        <w:rPr>
          <w:rFonts w:hint="eastAsia" w:ascii="仿宋" w:hAnsi="仿宋" w:eastAsia="仿宋" w:cs="Times New Roman"/>
          <w:kern w:val="0"/>
          <w:sz w:val="32"/>
          <w:szCs w:val="32"/>
        </w:rPr>
        <w:t>的评估原则、评估主体、评估内容、评估方法、评估流程和评估结果应用等内容；适用于困境儿童家庭监护能力评估。</w:t>
      </w:r>
    </w:p>
    <w:p w14:paraId="13887B8C">
      <w:pPr>
        <w:keepNext w:val="0"/>
        <w:keepLines w:val="0"/>
        <w:pageBreakBefore w:val="0"/>
        <w:widowControl/>
        <w:kinsoku/>
        <w:wordWrap/>
        <w:overflowPunct/>
        <w:topLinePunct w:val="0"/>
        <w:bidi w:val="0"/>
        <w:adjustRightInd/>
        <w:snapToGrid/>
        <w:spacing w:line="600" w:lineRule="exact"/>
        <w:ind w:right="0" w:firstLine="643" w:firstLineChars="200"/>
        <w:textAlignment w:val="auto"/>
        <w:rPr>
          <w:rFonts w:ascii="仿宋" w:hAnsi="仿宋" w:eastAsia="仿宋" w:cs="Times New Roman"/>
          <w:kern w:val="0"/>
          <w:sz w:val="32"/>
          <w:szCs w:val="32"/>
        </w:rPr>
      </w:pPr>
      <w:r>
        <w:rPr>
          <w:rFonts w:hint="eastAsia" w:ascii="仿宋" w:hAnsi="仿宋" w:eastAsia="仿宋" w:cs="Times New Roman"/>
          <w:b/>
          <w:bCs/>
          <w:kern w:val="0"/>
          <w:sz w:val="32"/>
          <w:szCs w:val="32"/>
        </w:rPr>
        <w:t>第2章“规范性引用文件”，</w:t>
      </w:r>
      <w:r>
        <w:rPr>
          <w:rFonts w:hint="eastAsia" w:ascii="仿宋" w:hAnsi="仿宋" w:eastAsia="仿宋" w:cs="Times New Roman"/>
          <w:kern w:val="0"/>
          <w:sz w:val="32"/>
          <w:szCs w:val="32"/>
        </w:rPr>
        <w:t>汇集了标准编写所引用的主要标准及文件，是引用标准的清单，本标准没有规范性引文文件。</w:t>
      </w:r>
    </w:p>
    <w:p w14:paraId="1A0F35A8">
      <w:pPr>
        <w:keepNext w:val="0"/>
        <w:keepLines w:val="0"/>
        <w:pageBreakBefore w:val="0"/>
        <w:widowControl/>
        <w:kinsoku/>
        <w:wordWrap/>
        <w:overflowPunct/>
        <w:topLinePunct w:val="0"/>
        <w:autoSpaceDE w:val="0"/>
        <w:autoSpaceDN w:val="0"/>
        <w:bidi w:val="0"/>
        <w:adjustRightInd/>
        <w:snapToGrid/>
        <w:spacing w:line="600" w:lineRule="exact"/>
        <w:ind w:right="0" w:firstLine="643" w:firstLineChars="200"/>
        <w:textAlignment w:val="auto"/>
        <w:rPr>
          <w:rFonts w:ascii="仿宋" w:hAnsi="仿宋" w:eastAsia="仿宋" w:cs="Times New Roman"/>
          <w:kern w:val="0"/>
          <w:sz w:val="32"/>
          <w:szCs w:val="32"/>
        </w:rPr>
      </w:pPr>
      <w:r>
        <w:rPr>
          <w:rFonts w:hint="eastAsia" w:ascii="仿宋" w:hAnsi="仿宋" w:eastAsia="仿宋" w:cs="Times New Roman"/>
          <w:b/>
          <w:bCs/>
          <w:kern w:val="0"/>
          <w:sz w:val="32"/>
          <w:szCs w:val="32"/>
        </w:rPr>
        <w:t>标准第3章“术语和定义”</w:t>
      </w:r>
      <w:r>
        <w:rPr>
          <w:rFonts w:hint="eastAsia" w:ascii="仿宋" w:hAnsi="仿宋" w:eastAsia="仿宋" w:cs="Times New Roman"/>
          <w:kern w:val="0"/>
          <w:sz w:val="32"/>
          <w:szCs w:val="32"/>
        </w:rPr>
        <w:t>，本章对“困境儿童”、“家庭监护能力”和“监护能力评估”的定义进行了解释说明。</w:t>
      </w:r>
      <w:r>
        <w:rPr>
          <w:rFonts w:ascii="仿宋" w:hAnsi="仿宋" w:eastAsia="仿宋" w:cs="Times New Roman"/>
          <w:kern w:val="0"/>
          <w:sz w:val="32"/>
          <w:szCs w:val="32"/>
        </w:rPr>
        <w:t xml:space="preserve"> </w:t>
      </w:r>
    </w:p>
    <w:p w14:paraId="65A37B37">
      <w:pPr>
        <w:keepNext w:val="0"/>
        <w:keepLines w:val="0"/>
        <w:pageBreakBefore w:val="0"/>
        <w:widowControl/>
        <w:kinsoku/>
        <w:wordWrap/>
        <w:overflowPunct/>
        <w:topLinePunct w:val="0"/>
        <w:autoSpaceDE w:val="0"/>
        <w:autoSpaceDN w:val="0"/>
        <w:bidi w:val="0"/>
        <w:adjustRightInd/>
        <w:snapToGrid/>
        <w:spacing w:line="600" w:lineRule="exact"/>
        <w:ind w:right="0" w:firstLine="643" w:firstLineChars="200"/>
        <w:textAlignment w:val="auto"/>
        <w:rPr>
          <w:rFonts w:ascii="仿宋" w:hAnsi="仿宋" w:eastAsia="仿宋" w:cs="Times New Roman"/>
          <w:kern w:val="0"/>
          <w:sz w:val="32"/>
          <w:szCs w:val="32"/>
        </w:rPr>
      </w:pPr>
      <w:r>
        <w:rPr>
          <w:rFonts w:hint="eastAsia" w:ascii="仿宋" w:hAnsi="仿宋" w:eastAsia="仿宋" w:cs="Times New Roman"/>
          <w:b/>
          <w:bCs/>
          <w:kern w:val="0"/>
          <w:sz w:val="32"/>
          <w:szCs w:val="32"/>
        </w:rPr>
        <w:t>第</w:t>
      </w:r>
      <w:r>
        <w:rPr>
          <w:rFonts w:ascii="仿宋" w:hAnsi="仿宋" w:eastAsia="仿宋" w:cs="Times New Roman"/>
          <w:b/>
          <w:bCs/>
          <w:kern w:val="0"/>
          <w:sz w:val="32"/>
          <w:szCs w:val="32"/>
        </w:rPr>
        <w:t>4</w:t>
      </w:r>
      <w:r>
        <w:rPr>
          <w:rFonts w:hint="eastAsia" w:ascii="仿宋" w:hAnsi="仿宋" w:eastAsia="仿宋" w:cs="Times New Roman"/>
          <w:b/>
          <w:bCs/>
          <w:kern w:val="0"/>
          <w:sz w:val="32"/>
          <w:szCs w:val="32"/>
        </w:rPr>
        <w:t>章“评估原则”，</w:t>
      </w:r>
      <w:r>
        <w:rPr>
          <w:rFonts w:hint="eastAsia" w:ascii="仿宋" w:hAnsi="仿宋" w:eastAsia="仿宋" w:cs="Times New Roman"/>
          <w:kern w:val="0"/>
          <w:sz w:val="32"/>
          <w:szCs w:val="32"/>
        </w:rPr>
        <w:t>本章明确了困境儿童家庭监护能力评估应遵循的原则：一是保护性原则，困境儿童家庭监护能力评估应坚持困境儿童利益最大化原则，尊重困境儿童的意愿，保护困境儿童的权利与隐私；二是客观性原则，根据评估对象的实际情况与实际需要，灵活选择评估指标，以客观事实为依据，从困境儿童、监护人、亲戚朋友等多方面进行评估，科学得出评估结论；三是专业性原则，以社会工作专业为主导，整合法律、医疗、教育、社会学等相关专业，推进专业机构、专业人员运用科学的评估方法及规范的流程开展专业评估工作；四是全面性原则，评估内容应涵盖身心健康、生活照料、保护情况、社会发展以及家庭环境等多个方面，全方面多层次评估。</w:t>
      </w:r>
    </w:p>
    <w:p w14:paraId="6F1E59F0">
      <w:pPr>
        <w:keepNext w:val="0"/>
        <w:keepLines w:val="0"/>
        <w:pageBreakBefore w:val="0"/>
        <w:widowControl/>
        <w:kinsoku/>
        <w:wordWrap/>
        <w:overflowPunct/>
        <w:topLinePunct w:val="0"/>
        <w:autoSpaceDE w:val="0"/>
        <w:autoSpaceDN w:val="0"/>
        <w:bidi w:val="0"/>
        <w:adjustRightInd/>
        <w:snapToGrid/>
        <w:spacing w:line="600" w:lineRule="exact"/>
        <w:ind w:right="0" w:firstLine="643" w:firstLineChars="200"/>
        <w:textAlignment w:val="auto"/>
        <w:rPr>
          <w:rFonts w:ascii="仿宋" w:hAnsi="仿宋" w:eastAsia="仿宋" w:cs="Times New Roman"/>
          <w:kern w:val="0"/>
          <w:sz w:val="32"/>
          <w:szCs w:val="32"/>
        </w:rPr>
      </w:pPr>
      <w:r>
        <w:rPr>
          <w:rFonts w:hint="eastAsia" w:ascii="仿宋" w:hAnsi="仿宋" w:eastAsia="仿宋" w:cs="Times New Roman"/>
          <w:b/>
          <w:bCs/>
          <w:kern w:val="0"/>
          <w:sz w:val="32"/>
          <w:szCs w:val="32"/>
        </w:rPr>
        <w:t>第5章“评估主体”，</w:t>
      </w:r>
      <w:r>
        <w:rPr>
          <w:rFonts w:hint="eastAsia" w:ascii="仿宋" w:hAnsi="仿宋" w:eastAsia="仿宋" w:cs="Times New Roman"/>
          <w:kern w:val="0"/>
          <w:sz w:val="32"/>
          <w:szCs w:val="32"/>
        </w:rPr>
        <w:t>本章明确了</w:t>
      </w:r>
      <w:r>
        <w:rPr>
          <w:rFonts w:ascii="仿宋" w:hAnsi="仿宋" w:eastAsia="仿宋" w:cs="Times New Roman"/>
          <w:kern w:val="0"/>
          <w:sz w:val="32"/>
          <w:szCs w:val="32"/>
        </w:rPr>
        <w:t>评估</w:t>
      </w:r>
      <w:r>
        <w:rPr>
          <w:rFonts w:hint="eastAsia" w:ascii="仿宋" w:hAnsi="仿宋" w:eastAsia="仿宋" w:cs="Times New Roman"/>
          <w:kern w:val="0"/>
          <w:sz w:val="32"/>
          <w:szCs w:val="32"/>
        </w:rPr>
        <w:t>组织方、评估组织方式、评估机构和评估工作人员应具备的条件，一是明确了评估工作由谁组织开展，困境儿童</w:t>
      </w:r>
      <w:r>
        <w:rPr>
          <w:rFonts w:ascii="仿宋" w:hAnsi="仿宋" w:eastAsia="仿宋" w:cs="Times New Roman"/>
          <w:kern w:val="0"/>
          <w:sz w:val="32"/>
          <w:szCs w:val="32"/>
        </w:rPr>
        <w:t>家庭监护</w:t>
      </w:r>
      <w:r>
        <w:rPr>
          <w:rFonts w:hint="eastAsia" w:ascii="仿宋" w:hAnsi="仿宋" w:eastAsia="仿宋" w:cs="Times New Roman"/>
          <w:kern w:val="0"/>
          <w:sz w:val="32"/>
          <w:szCs w:val="32"/>
        </w:rPr>
        <w:t>能力评估组织方为县级以上民政部门及乡镇人民政府，二是明确了困境儿童家庭监护能力评估工作组织方式，可采取自行组织评估或</w:t>
      </w:r>
      <w:r>
        <w:rPr>
          <w:rFonts w:ascii="仿宋" w:hAnsi="仿宋" w:eastAsia="仿宋" w:cs="Times New Roman"/>
          <w:kern w:val="0"/>
          <w:sz w:val="32"/>
          <w:szCs w:val="32"/>
        </w:rPr>
        <w:t>委托第三方专业机构</w:t>
      </w:r>
      <w:r>
        <w:rPr>
          <w:rFonts w:hint="eastAsia" w:ascii="仿宋" w:hAnsi="仿宋" w:eastAsia="仿宋" w:cs="Times New Roman"/>
          <w:kern w:val="0"/>
          <w:sz w:val="32"/>
          <w:szCs w:val="32"/>
        </w:rPr>
        <w:t>进行评估的方式；三是依据</w:t>
      </w:r>
      <w:r>
        <w:rPr>
          <w:rFonts w:ascii="仿宋" w:hAnsi="仿宋" w:eastAsia="仿宋" w:cs="Times New Roman"/>
          <w:kern w:val="0"/>
          <w:sz w:val="32"/>
          <w:szCs w:val="32"/>
        </w:rPr>
        <w:t>《湖南省未成年人家庭监护能力评估办法》要求</w:t>
      </w:r>
      <w:r>
        <w:rPr>
          <w:rFonts w:hint="eastAsia" w:ascii="仿宋" w:hAnsi="仿宋" w:eastAsia="仿宋" w:cs="Times New Roman"/>
          <w:kern w:val="0"/>
          <w:sz w:val="32"/>
          <w:szCs w:val="32"/>
        </w:rPr>
        <w:t>，</w:t>
      </w:r>
      <w:bookmarkStart w:id="5" w:name="_Hlk204245977"/>
      <w:r>
        <w:rPr>
          <w:rFonts w:hint="eastAsia" w:ascii="仿宋" w:hAnsi="仿宋" w:eastAsia="仿宋" w:cs="Times New Roman"/>
          <w:kern w:val="0"/>
          <w:sz w:val="32"/>
          <w:szCs w:val="32"/>
        </w:rPr>
        <w:t>明确了</w:t>
      </w:r>
      <w:r>
        <w:rPr>
          <w:rFonts w:ascii="仿宋" w:hAnsi="仿宋" w:eastAsia="仿宋" w:cs="Times New Roman"/>
          <w:kern w:val="0"/>
          <w:sz w:val="32"/>
          <w:szCs w:val="32"/>
        </w:rPr>
        <w:t>第三方专业机构</w:t>
      </w:r>
      <w:r>
        <w:rPr>
          <w:rFonts w:hint="eastAsia" w:ascii="仿宋" w:hAnsi="仿宋" w:eastAsia="仿宋" w:cs="Times New Roman"/>
          <w:kern w:val="0"/>
          <w:sz w:val="32"/>
          <w:szCs w:val="32"/>
        </w:rPr>
        <w:t>评估机构应具备的条件，</w:t>
      </w:r>
      <w:bookmarkEnd w:id="5"/>
      <w:r>
        <w:rPr>
          <w:rFonts w:hint="eastAsia" w:ascii="仿宋" w:hAnsi="仿宋" w:eastAsia="仿宋" w:cs="Times New Roman"/>
          <w:kern w:val="0"/>
          <w:sz w:val="32"/>
          <w:szCs w:val="32"/>
        </w:rPr>
        <w:t>应为</w:t>
      </w:r>
      <w:r>
        <w:rPr>
          <w:rFonts w:ascii="仿宋" w:hAnsi="仿宋" w:eastAsia="仿宋" w:cs="Times New Roman"/>
          <w:kern w:val="0"/>
          <w:sz w:val="32"/>
          <w:szCs w:val="32"/>
        </w:rPr>
        <w:t>依法登记注册、具备未成年人保护或调查评估相关工作经验的社会工作服务机构、法律服务机构或心理服务机构</w:t>
      </w:r>
      <w:r>
        <w:rPr>
          <w:rFonts w:hint="eastAsia" w:ascii="仿宋" w:hAnsi="仿宋" w:eastAsia="仿宋" w:cs="Times New Roman"/>
          <w:kern w:val="0"/>
          <w:sz w:val="32"/>
          <w:szCs w:val="32"/>
        </w:rPr>
        <w:t>；四是依据</w:t>
      </w:r>
      <w:r>
        <w:rPr>
          <w:rFonts w:ascii="仿宋" w:hAnsi="仿宋" w:eastAsia="仿宋" w:cs="Times New Roman"/>
          <w:kern w:val="0"/>
          <w:sz w:val="32"/>
          <w:szCs w:val="32"/>
        </w:rPr>
        <w:t>《湖南省未成年人家庭监护能力评估办法》要求</w:t>
      </w:r>
      <w:r>
        <w:rPr>
          <w:rFonts w:hint="eastAsia" w:ascii="仿宋" w:hAnsi="仿宋" w:eastAsia="仿宋" w:cs="Times New Roman"/>
          <w:kern w:val="0"/>
          <w:sz w:val="32"/>
          <w:szCs w:val="32"/>
        </w:rPr>
        <w:t>，明确了参与评估人员应具备的条件。</w:t>
      </w:r>
    </w:p>
    <w:p w14:paraId="7819045B">
      <w:pPr>
        <w:keepNext w:val="0"/>
        <w:keepLines w:val="0"/>
        <w:pageBreakBefore w:val="0"/>
        <w:kinsoku/>
        <w:wordWrap/>
        <w:overflowPunct/>
        <w:topLinePunct w:val="0"/>
        <w:bidi w:val="0"/>
        <w:adjustRightInd/>
        <w:snapToGrid/>
        <w:spacing w:line="600" w:lineRule="exact"/>
        <w:ind w:right="0" w:firstLine="643" w:firstLineChars="200"/>
        <w:textAlignment w:val="auto"/>
        <w:rPr>
          <w:rFonts w:ascii="仿宋" w:hAnsi="仿宋" w:eastAsia="仿宋" w:cs="Times New Roman"/>
          <w:kern w:val="0"/>
          <w:sz w:val="32"/>
          <w:szCs w:val="32"/>
        </w:rPr>
      </w:pPr>
      <w:r>
        <w:rPr>
          <w:rFonts w:hint="eastAsia" w:ascii="仿宋" w:hAnsi="仿宋" w:eastAsia="仿宋" w:cs="Times New Roman"/>
          <w:b/>
          <w:bCs/>
          <w:kern w:val="0"/>
          <w:sz w:val="32"/>
          <w:szCs w:val="32"/>
        </w:rPr>
        <w:t>第6章“评估内容”，</w:t>
      </w:r>
      <w:r>
        <w:rPr>
          <w:rFonts w:hint="eastAsia" w:ascii="仿宋" w:hAnsi="仿宋" w:eastAsia="仿宋" w:cs="Times New Roman"/>
          <w:kern w:val="0"/>
          <w:sz w:val="32"/>
          <w:szCs w:val="32"/>
        </w:rPr>
        <w:t>本章节明确了评估工作的评估内容，并详细列明了困境儿童家庭监护能力评估指标。评估指标是本文件的核心要素，主要围绕“困境儿童家庭监护质量”和“监护人监护能力”两个维度建立评估指标体系。</w:t>
      </w:r>
    </w:p>
    <w:p w14:paraId="03C262E5">
      <w:pPr>
        <w:keepNext w:val="0"/>
        <w:keepLines w:val="0"/>
        <w:pageBreakBefore w:val="0"/>
        <w:widowControl/>
        <w:kinsoku/>
        <w:wordWrap/>
        <w:overflowPunct/>
        <w:topLinePunct w:val="0"/>
        <w:bidi w:val="0"/>
        <w:adjustRightInd/>
        <w:snapToGrid/>
        <w:spacing w:line="600" w:lineRule="exact"/>
        <w:ind w:right="0" w:firstLine="643" w:firstLineChars="200"/>
        <w:textAlignment w:val="auto"/>
        <w:rPr>
          <w:rFonts w:ascii="仿宋" w:hAnsi="Times New Roman" w:eastAsia="仿宋" w:cs="Times New Roman"/>
          <w:kern w:val="0"/>
          <w:sz w:val="32"/>
          <w:szCs w:val="32"/>
        </w:rPr>
      </w:pPr>
      <w:r>
        <w:rPr>
          <w:rFonts w:hint="eastAsia" w:ascii="仿宋" w:hAnsi="仿宋" w:eastAsia="仿宋" w:cs="Times New Roman"/>
          <w:b/>
          <w:bCs/>
          <w:kern w:val="0"/>
          <w:sz w:val="32"/>
          <w:szCs w:val="32"/>
        </w:rPr>
        <w:t>第7章“评估方法”，</w:t>
      </w:r>
      <w:r>
        <w:rPr>
          <w:rFonts w:hint="eastAsia" w:ascii="仿宋" w:hAnsi="仿宋" w:eastAsia="仿宋" w:cs="Times New Roman"/>
          <w:kern w:val="0"/>
          <w:sz w:val="32"/>
          <w:szCs w:val="32"/>
        </w:rPr>
        <w:t>本章明确了困境儿童家庭监护能力评估方法的要点及要求，包括访谈法、观察方法、问卷法和资料分析法。</w:t>
      </w:r>
    </w:p>
    <w:p w14:paraId="6C58E36B">
      <w:pPr>
        <w:keepNext w:val="0"/>
        <w:keepLines w:val="0"/>
        <w:pageBreakBefore w:val="0"/>
        <w:widowControl/>
        <w:kinsoku/>
        <w:wordWrap/>
        <w:overflowPunct/>
        <w:topLinePunct w:val="0"/>
        <w:bidi w:val="0"/>
        <w:adjustRightInd/>
        <w:snapToGrid/>
        <w:spacing w:line="600" w:lineRule="exact"/>
        <w:ind w:right="0" w:firstLine="643" w:firstLineChars="200"/>
        <w:textAlignment w:val="auto"/>
        <w:rPr>
          <w:rFonts w:ascii="仿宋" w:hAnsi="仿宋" w:eastAsia="仿宋" w:cs="Times New Roman"/>
          <w:kern w:val="0"/>
          <w:sz w:val="32"/>
          <w:szCs w:val="32"/>
        </w:rPr>
      </w:pPr>
      <w:r>
        <w:rPr>
          <w:rFonts w:hint="eastAsia" w:ascii="仿宋" w:hAnsi="仿宋" w:eastAsia="仿宋" w:cs="Times New Roman"/>
          <w:b/>
          <w:bCs/>
          <w:kern w:val="0"/>
          <w:sz w:val="32"/>
          <w:szCs w:val="32"/>
        </w:rPr>
        <w:t>第</w:t>
      </w:r>
      <w:r>
        <w:rPr>
          <w:rFonts w:ascii="仿宋" w:hAnsi="仿宋" w:eastAsia="仿宋" w:cs="Times New Roman"/>
          <w:b/>
          <w:bCs/>
          <w:kern w:val="0"/>
          <w:sz w:val="32"/>
          <w:szCs w:val="32"/>
        </w:rPr>
        <w:t>8</w:t>
      </w:r>
      <w:r>
        <w:rPr>
          <w:rFonts w:hint="eastAsia" w:ascii="仿宋" w:hAnsi="仿宋" w:eastAsia="仿宋" w:cs="Times New Roman"/>
          <w:b/>
          <w:bCs/>
          <w:kern w:val="0"/>
          <w:sz w:val="32"/>
          <w:szCs w:val="32"/>
        </w:rPr>
        <w:t>章“评估流程”，</w:t>
      </w:r>
      <w:r>
        <w:rPr>
          <w:rFonts w:hint="eastAsia" w:ascii="仿宋" w:hAnsi="仿宋" w:eastAsia="仿宋" w:cs="Times New Roman"/>
          <w:kern w:val="0"/>
          <w:sz w:val="32"/>
          <w:szCs w:val="32"/>
        </w:rPr>
        <w:t>本章明确了困境儿童家庭监护能力评估各环节流程的具体要求，包括成立评估小组、制定方案、核对预约、实地评估、评估结果反馈和资料归档等环节。</w:t>
      </w:r>
    </w:p>
    <w:p w14:paraId="1E69885A">
      <w:pPr>
        <w:keepNext w:val="0"/>
        <w:keepLines w:val="0"/>
        <w:pageBreakBefore w:val="0"/>
        <w:widowControl/>
        <w:kinsoku/>
        <w:wordWrap/>
        <w:overflowPunct/>
        <w:topLinePunct w:val="0"/>
        <w:bidi w:val="0"/>
        <w:adjustRightInd/>
        <w:snapToGrid/>
        <w:spacing w:line="600" w:lineRule="exact"/>
        <w:ind w:right="0" w:firstLine="643" w:firstLineChars="200"/>
        <w:textAlignment w:val="auto"/>
        <w:rPr>
          <w:rFonts w:ascii="仿宋" w:hAnsi="仿宋" w:eastAsia="仿宋" w:cs="Times New Roman"/>
          <w:kern w:val="0"/>
          <w:sz w:val="32"/>
          <w:szCs w:val="32"/>
        </w:rPr>
      </w:pPr>
      <w:bookmarkStart w:id="6" w:name="_Hlk195608702"/>
      <w:r>
        <w:rPr>
          <w:rFonts w:hint="eastAsia" w:ascii="仿宋" w:hAnsi="仿宋" w:eastAsia="仿宋" w:cs="Times New Roman"/>
          <w:b/>
          <w:bCs/>
          <w:kern w:val="0"/>
          <w:sz w:val="32"/>
          <w:szCs w:val="32"/>
        </w:rPr>
        <w:t>第</w:t>
      </w:r>
      <w:r>
        <w:rPr>
          <w:rFonts w:ascii="仿宋" w:hAnsi="仿宋" w:eastAsia="仿宋" w:cs="Times New Roman"/>
          <w:b/>
          <w:bCs/>
          <w:kern w:val="0"/>
          <w:sz w:val="32"/>
          <w:szCs w:val="32"/>
        </w:rPr>
        <w:t>9</w:t>
      </w:r>
      <w:r>
        <w:rPr>
          <w:rFonts w:hint="eastAsia" w:ascii="仿宋" w:hAnsi="仿宋" w:eastAsia="仿宋" w:cs="Times New Roman"/>
          <w:b/>
          <w:bCs/>
          <w:kern w:val="0"/>
          <w:sz w:val="32"/>
          <w:szCs w:val="32"/>
        </w:rPr>
        <w:t>章“评估结果及应用”</w:t>
      </w:r>
      <w:r>
        <w:rPr>
          <w:rFonts w:hint="eastAsia" w:ascii="仿宋" w:hAnsi="仿宋" w:eastAsia="仿宋" w:cs="Times New Roman"/>
          <w:kern w:val="0"/>
          <w:sz w:val="32"/>
          <w:szCs w:val="32"/>
        </w:rPr>
        <w:t>，</w:t>
      </w:r>
      <w:bookmarkEnd w:id="6"/>
      <w:r>
        <w:rPr>
          <w:rFonts w:hint="eastAsia" w:ascii="仿宋" w:hAnsi="仿宋" w:eastAsia="仿宋" w:cs="Times New Roman"/>
          <w:kern w:val="0"/>
          <w:sz w:val="32"/>
          <w:szCs w:val="32"/>
        </w:rPr>
        <w:t>本章提出了困境儿童家庭监护能力评估结果等级划分及应用要求，一是根据评估得分情况，明确了困境儿童家庭监护能力高风险、中风险、低风险三个等级的划分要求；二是明确了困境儿童家庭监护能力直接判定为“高风险等级”的具体情形；三是明确了强制报告事项，</w:t>
      </w:r>
      <w:r>
        <w:rPr>
          <w:rFonts w:ascii="仿宋" w:hAnsi="仿宋" w:eastAsia="仿宋" w:cs="Times New Roman"/>
          <w:kern w:val="0"/>
          <w:sz w:val="32"/>
          <w:szCs w:val="32"/>
        </w:rPr>
        <w:t>直接确定为监护一级风险</w:t>
      </w:r>
      <w:r>
        <w:rPr>
          <w:rFonts w:hint="eastAsia" w:ascii="仿宋" w:hAnsi="仿宋" w:eastAsia="仿宋" w:cs="Times New Roman"/>
          <w:kern w:val="0"/>
          <w:sz w:val="32"/>
          <w:szCs w:val="32"/>
        </w:rPr>
        <w:t>的具体情形；四是明确了评估结果的运用要求，</w:t>
      </w:r>
      <w:r>
        <w:rPr>
          <w:rFonts w:ascii="仿宋" w:hAnsi="仿宋" w:eastAsia="仿宋" w:cs="Times New Roman"/>
          <w:kern w:val="0"/>
          <w:sz w:val="32"/>
          <w:szCs w:val="32"/>
        </w:rPr>
        <w:t>评估结果</w:t>
      </w:r>
      <w:r>
        <w:rPr>
          <w:rFonts w:hint="eastAsia" w:ascii="仿宋" w:hAnsi="仿宋" w:eastAsia="仿宋" w:cs="Times New Roman"/>
          <w:kern w:val="0"/>
          <w:sz w:val="32"/>
          <w:szCs w:val="32"/>
        </w:rPr>
        <w:t>可</w:t>
      </w:r>
      <w:r>
        <w:rPr>
          <w:rFonts w:ascii="仿宋" w:hAnsi="仿宋" w:eastAsia="仿宋" w:cs="Times New Roman"/>
          <w:kern w:val="0"/>
          <w:sz w:val="32"/>
          <w:szCs w:val="32"/>
        </w:rPr>
        <w:t>作为</w:t>
      </w:r>
      <w:r>
        <w:rPr>
          <w:rFonts w:hint="eastAsia" w:ascii="仿宋" w:hAnsi="仿宋" w:eastAsia="仿宋" w:cs="Times New Roman"/>
          <w:kern w:val="0"/>
          <w:sz w:val="32"/>
          <w:szCs w:val="32"/>
        </w:rPr>
        <w:t>评估组织方判断困境儿童家庭</w:t>
      </w:r>
      <w:r>
        <w:rPr>
          <w:rFonts w:ascii="仿宋" w:hAnsi="仿宋" w:eastAsia="仿宋" w:cs="Times New Roman"/>
          <w:kern w:val="0"/>
          <w:sz w:val="32"/>
          <w:szCs w:val="32"/>
        </w:rPr>
        <w:t>监护能力认定、提供救助帮扶、监护干预或恢复监护人监护资格</w:t>
      </w:r>
      <w:r>
        <w:rPr>
          <w:rFonts w:hint="eastAsia" w:ascii="仿宋" w:hAnsi="仿宋" w:eastAsia="仿宋" w:cs="Times New Roman"/>
          <w:kern w:val="0"/>
          <w:sz w:val="32"/>
          <w:szCs w:val="32"/>
        </w:rPr>
        <w:t>等</w:t>
      </w:r>
      <w:r>
        <w:rPr>
          <w:rFonts w:ascii="仿宋" w:hAnsi="仿宋" w:eastAsia="仿宋" w:cs="Times New Roman"/>
          <w:kern w:val="0"/>
          <w:sz w:val="32"/>
          <w:szCs w:val="32"/>
        </w:rPr>
        <w:t>的</w:t>
      </w:r>
      <w:r>
        <w:rPr>
          <w:rFonts w:hint="eastAsia" w:ascii="仿宋" w:hAnsi="仿宋" w:eastAsia="仿宋" w:cs="Times New Roman"/>
          <w:kern w:val="0"/>
          <w:sz w:val="32"/>
          <w:szCs w:val="32"/>
        </w:rPr>
        <w:t>参考</w:t>
      </w:r>
      <w:r>
        <w:rPr>
          <w:rFonts w:ascii="仿宋" w:hAnsi="仿宋" w:eastAsia="仿宋" w:cs="Times New Roman"/>
          <w:kern w:val="0"/>
          <w:sz w:val="32"/>
          <w:szCs w:val="32"/>
        </w:rPr>
        <w:t>依据</w:t>
      </w:r>
      <w:r>
        <w:rPr>
          <w:rFonts w:hint="eastAsia" w:ascii="仿宋" w:hAnsi="仿宋" w:eastAsia="仿宋" w:cs="Times New Roman"/>
          <w:kern w:val="0"/>
          <w:sz w:val="32"/>
          <w:szCs w:val="32"/>
        </w:rPr>
        <w:t>，并分别提出了监护状况评估为“高风险、中风险、低风险”三个等级应采取的措施要求。</w:t>
      </w:r>
    </w:p>
    <w:p w14:paraId="6C8A8C9B">
      <w:pPr>
        <w:keepNext w:val="0"/>
        <w:keepLines w:val="0"/>
        <w:pageBreakBefore w:val="0"/>
        <w:widowControl/>
        <w:kinsoku/>
        <w:wordWrap/>
        <w:overflowPunct/>
        <w:topLinePunct w:val="0"/>
        <w:bidi w:val="0"/>
        <w:adjustRightInd/>
        <w:snapToGrid/>
        <w:spacing w:line="600" w:lineRule="exact"/>
        <w:ind w:right="0" w:firstLine="643" w:firstLineChars="200"/>
        <w:textAlignment w:val="auto"/>
        <w:rPr>
          <w:rFonts w:ascii="Times New Roman" w:hAnsi="Times New Roman" w:eastAsia="黑体" w:cs="Times New Roman"/>
          <w:b/>
          <w:kern w:val="0"/>
          <w:sz w:val="32"/>
          <w:szCs w:val="32"/>
        </w:rPr>
      </w:pPr>
      <w:r>
        <w:rPr>
          <w:rFonts w:ascii="Times New Roman" w:hAnsi="Times New Roman" w:eastAsia="黑体" w:cs="Times New Roman"/>
          <w:b/>
          <w:kern w:val="0"/>
          <w:sz w:val="32"/>
          <w:szCs w:val="32"/>
        </w:rPr>
        <w:t>四、主要试验（或验证）分析报告、相关技术和经济影响论证情况</w:t>
      </w:r>
    </w:p>
    <w:p w14:paraId="1582B697">
      <w:pPr>
        <w:keepNext w:val="0"/>
        <w:keepLines w:val="0"/>
        <w:pageBreakBefore w:val="0"/>
        <w:kinsoku/>
        <w:wordWrap/>
        <w:overflowPunct/>
        <w:topLinePunct w:val="0"/>
        <w:bidi w:val="0"/>
        <w:adjustRightInd/>
        <w:snapToGrid/>
        <w:spacing w:line="600" w:lineRule="exact"/>
        <w:ind w:right="0" w:firstLine="640" w:firstLineChars="200"/>
        <w:textAlignment w:val="auto"/>
        <w:rPr>
          <w:rFonts w:ascii="仿宋" w:hAnsi="仿宋" w:eastAsia="仿宋"/>
          <w:spacing w:val="-6"/>
          <w:sz w:val="32"/>
          <w:szCs w:val="32"/>
        </w:rPr>
      </w:pPr>
      <w:r>
        <w:rPr>
          <w:rFonts w:hint="eastAsia" w:ascii="仿宋" w:hAnsi="仿宋" w:eastAsia="仿宋"/>
          <w:sz w:val="32"/>
          <w:szCs w:val="32"/>
        </w:rPr>
        <w:t>湖南省地方标准</w:t>
      </w:r>
      <w:r>
        <w:rPr>
          <w:rFonts w:ascii="仿宋" w:hAnsi="仿宋" w:eastAsia="仿宋"/>
          <w:sz w:val="32"/>
          <w:szCs w:val="32"/>
        </w:rPr>
        <w:t>《</w:t>
      </w:r>
      <w:r>
        <w:rPr>
          <w:rFonts w:hint="eastAsia" w:ascii="仿宋" w:hAnsi="仿宋" w:eastAsia="仿宋"/>
          <w:sz w:val="32"/>
          <w:szCs w:val="32"/>
        </w:rPr>
        <w:t>困境儿童家庭监护能力评估》的制定，是在紧密结合国省相关政策文件要求以及省内相关地区实践经验的基础上，将困境儿童家庭监护能力评估工作相关先进经验和典型做法用标准形式予以固化总结的成果，该标准的制定和实施有效填补了我省困境儿童家庭监护能力评估领域标准的空白，能为基层工作人员进行监护困境儿童家庭评估工作提供科学有效的指导依据，实现困境儿童的需求问题及相关风险因素进行精准识别，对推动困境儿童家庭监护能力评估工作规范化建设，提升困</w:t>
      </w:r>
      <w:r>
        <w:rPr>
          <w:rFonts w:hint="eastAsia" w:ascii="仿宋" w:hAnsi="仿宋" w:eastAsia="仿宋"/>
          <w:spacing w:val="-6"/>
          <w:sz w:val="32"/>
          <w:szCs w:val="32"/>
        </w:rPr>
        <w:t>境儿童家庭监护能力评估水平，进一步压实家庭监护主体责任、</w:t>
      </w:r>
      <w:r>
        <w:rPr>
          <w:rFonts w:hint="eastAsia" w:ascii="仿宋" w:hAnsi="仿宋" w:eastAsia="仿宋"/>
          <w:spacing w:val="-6"/>
          <w:sz w:val="32"/>
          <w:szCs w:val="32"/>
        </w:rPr>
        <w:t>监督家庭监护职责的履行，促进家庭监护能力的提升等具有重要意义。</w:t>
      </w:r>
    </w:p>
    <w:p w14:paraId="7D63D1F9">
      <w:pPr>
        <w:keepNext w:val="0"/>
        <w:keepLines w:val="0"/>
        <w:pageBreakBefore w:val="0"/>
        <w:kinsoku/>
        <w:wordWrap/>
        <w:overflowPunct/>
        <w:topLinePunct w:val="0"/>
        <w:bidi w:val="0"/>
        <w:adjustRightInd/>
        <w:snapToGrid/>
        <w:spacing w:line="600" w:lineRule="exact"/>
        <w:ind w:right="0" w:firstLine="643" w:firstLineChars="200"/>
        <w:jc w:val="left"/>
        <w:textAlignment w:val="auto"/>
        <w:rPr>
          <w:rFonts w:ascii="Times New Roman" w:hAnsi="Times New Roman" w:eastAsia="黑体" w:cs="Times New Roman"/>
          <w:b/>
          <w:kern w:val="0"/>
          <w:sz w:val="32"/>
          <w:szCs w:val="32"/>
        </w:rPr>
      </w:pPr>
      <w:r>
        <w:rPr>
          <w:rFonts w:ascii="Times New Roman" w:hAnsi="Times New Roman" w:eastAsia="黑体" w:cs="Times New Roman"/>
          <w:b/>
          <w:kern w:val="0"/>
          <w:sz w:val="32"/>
          <w:szCs w:val="32"/>
        </w:rPr>
        <w:t>五、国内外现行相关法律、法规和标准情况</w:t>
      </w:r>
    </w:p>
    <w:p w14:paraId="2D5ECE47">
      <w:pPr>
        <w:keepNext w:val="0"/>
        <w:keepLines w:val="0"/>
        <w:pageBreakBefore w:val="0"/>
        <w:kinsoku/>
        <w:wordWrap/>
        <w:overflowPunct/>
        <w:topLinePunct w:val="0"/>
        <w:bidi w:val="0"/>
        <w:adjustRightInd/>
        <w:snapToGrid/>
        <w:spacing w:line="600" w:lineRule="exact"/>
        <w:ind w:right="0" w:firstLine="640" w:firstLineChars="200"/>
        <w:textAlignment w:val="auto"/>
        <w:rPr>
          <w:rFonts w:ascii="仿宋" w:hAnsi="仿宋" w:eastAsia="仿宋" w:cs="Times New Roman"/>
          <w:kern w:val="0"/>
          <w:sz w:val="32"/>
          <w:szCs w:val="32"/>
        </w:rPr>
      </w:pPr>
      <w:r>
        <w:rPr>
          <w:rFonts w:hint="eastAsia" w:ascii="仿宋" w:hAnsi="仿宋" w:eastAsia="仿宋" w:cs="Times New Roman"/>
          <w:kern w:val="0"/>
          <w:sz w:val="32"/>
          <w:szCs w:val="32"/>
        </w:rPr>
        <w:t>本标准的制定严格遵循行业相关法律法规，在技术内容的选取上，结合参考了众多资料文献，追求规范性技术要素和技术指标选取科学合理、有据可依。</w:t>
      </w:r>
      <w:r>
        <w:rPr>
          <w:rFonts w:hint="eastAsia" w:ascii="仿宋" w:hAnsi="仿宋" w:eastAsia="仿宋" w:cs="Times New Roman"/>
          <w:bCs/>
          <w:kern w:val="0"/>
          <w:sz w:val="32"/>
          <w:szCs w:val="32"/>
        </w:rPr>
        <w:t>本标准的编写格式、文字表达方式等严格</w:t>
      </w:r>
      <w:r>
        <w:rPr>
          <w:rFonts w:ascii="仿宋" w:hAnsi="仿宋" w:eastAsia="仿宋" w:cs="Times New Roman"/>
          <w:bCs/>
          <w:kern w:val="0"/>
          <w:sz w:val="32"/>
          <w:szCs w:val="32"/>
        </w:rPr>
        <w:t>遵循GB/T 1.1-2020的要求进行</w:t>
      </w:r>
      <w:r>
        <w:rPr>
          <w:rFonts w:hint="eastAsia" w:ascii="仿宋" w:hAnsi="仿宋" w:eastAsia="仿宋" w:cs="Times New Roman"/>
          <w:bCs/>
          <w:kern w:val="0"/>
          <w:sz w:val="32"/>
          <w:szCs w:val="32"/>
        </w:rPr>
        <w:t>编写</w:t>
      </w:r>
      <w:r>
        <w:rPr>
          <w:rFonts w:ascii="仿宋" w:hAnsi="仿宋" w:eastAsia="仿宋" w:cs="Times New Roman"/>
          <w:bCs/>
          <w:kern w:val="0"/>
          <w:sz w:val="32"/>
          <w:szCs w:val="32"/>
        </w:rPr>
        <w:t>，确保了标准的规范性、严谨性</w:t>
      </w:r>
      <w:r>
        <w:rPr>
          <w:rFonts w:hint="eastAsia" w:ascii="仿宋" w:hAnsi="仿宋" w:eastAsia="仿宋" w:cs="Times New Roman"/>
          <w:bCs/>
          <w:kern w:val="0"/>
          <w:sz w:val="32"/>
          <w:szCs w:val="32"/>
        </w:rPr>
        <w:t>和可操作性</w:t>
      </w:r>
      <w:r>
        <w:rPr>
          <w:rFonts w:ascii="仿宋" w:hAnsi="仿宋" w:eastAsia="仿宋" w:cs="Times New Roman"/>
          <w:bCs/>
          <w:kern w:val="0"/>
          <w:sz w:val="32"/>
          <w:szCs w:val="32"/>
        </w:rPr>
        <w:t>。</w:t>
      </w:r>
      <w:r>
        <w:rPr>
          <w:rFonts w:hint="eastAsia" w:ascii="仿宋" w:hAnsi="仿宋" w:eastAsia="仿宋" w:cs="Times New Roman"/>
          <w:kern w:val="0"/>
          <w:sz w:val="32"/>
          <w:szCs w:val="32"/>
        </w:rPr>
        <w:t>我国现行的关于困境儿童的法律法规有《中华人民共和国未成年人保护法》《中华人民共和国民法典》，本标准确定的内容，与现行相关的法律法规和标准不矛盾、无冲突。本文件是在严格执行国家相关规定的基础上结合我省实际情况制定，不仅是对相关法律法规的协调，也进一步对相关的内容和要求进行细化，有利于支撑相关政策的全面贯彻落实。经查询，目前，国内暂未发布与困境儿童家庭监护能力评估相关国家标准、行业标准及湖南省地方标准。</w:t>
      </w:r>
    </w:p>
    <w:p w14:paraId="04EF116C">
      <w:pPr>
        <w:keepNext w:val="0"/>
        <w:keepLines w:val="0"/>
        <w:pageBreakBefore w:val="0"/>
        <w:kinsoku/>
        <w:wordWrap/>
        <w:overflowPunct/>
        <w:topLinePunct w:val="0"/>
        <w:bidi w:val="0"/>
        <w:adjustRightInd/>
        <w:snapToGrid/>
        <w:spacing w:line="600" w:lineRule="exact"/>
        <w:ind w:right="0" w:firstLine="643" w:firstLineChars="200"/>
        <w:jc w:val="left"/>
        <w:textAlignment w:val="auto"/>
        <w:rPr>
          <w:rFonts w:ascii="Times New Roman" w:hAnsi="Times New Roman" w:eastAsia="黑体" w:cs="Times New Roman"/>
          <w:b/>
          <w:kern w:val="0"/>
          <w:sz w:val="32"/>
          <w:szCs w:val="32"/>
        </w:rPr>
      </w:pPr>
      <w:r>
        <w:rPr>
          <w:rFonts w:ascii="Times New Roman" w:hAnsi="Times New Roman" w:eastAsia="黑体" w:cs="Times New Roman"/>
          <w:b/>
          <w:kern w:val="0"/>
          <w:sz w:val="32"/>
          <w:szCs w:val="32"/>
        </w:rPr>
        <w:t>六、重大意见分歧及处理结果</w:t>
      </w:r>
    </w:p>
    <w:p w14:paraId="01914E03">
      <w:pPr>
        <w:keepNext w:val="0"/>
        <w:keepLines w:val="0"/>
        <w:pageBreakBefore w:val="0"/>
        <w:kinsoku/>
        <w:wordWrap/>
        <w:overflowPunct/>
        <w:topLinePunct w:val="0"/>
        <w:bidi w:val="0"/>
        <w:adjustRightInd/>
        <w:snapToGrid/>
        <w:spacing w:line="600" w:lineRule="exact"/>
        <w:ind w:right="0" w:firstLine="640" w:firstLineChars="200"/>
        <w:jc w:val="left"/>
        <w:textAlignment w:val="auto"/>
        <w:rPr>
          <w:rFonts w:ascii="Times New Roman" w:hAnsi="Times New Roman" w:eastAsia="华文仿宋" w:cs="Times New Roman"/>
          <w:kern w:val="0"/>
          <w:sz w:val="28"/>
          <w:szCs w:val="28"/>
        </w:rPr>
      </w:pPr>
      <w:r>
        <w:rPr>
          <w:rFonts w:ascii="Times New Roman" w:hAnsi="Times New Roman" w:eastAsia="仿宋" w:cs="Times New Roman"/>
          <w:kern w:val="0"/>
          <w:sz w:val="32"/>
          <w:szCs w:val="32"/>
        </w:rPr>
        <w:t>本标准确定的内容，与现行相关的法律法规和标准不矛盾、无冲突，编制过程中无重大意见分歧。</w:t>
      </w:r>
    </w:p>
    <w:p w14:paraId="1927B7B1">
      <w:pPr>
        <w:keepNext w:val="0"/>
        <w:keepLines w:val="0"/>
        <w:pageBreakBefore w:val="0"/>
        <w:widowControl/>
        <w:kinsoku/>
        <w:wordWrap/>
        <w:overflowPunct/>
        <w:topLinePunct w:val="0"/>
        <w:bidi w:val="0"/>
        <w:adjustRightInd/>
        <w:snapToGrid/>
        <w:spacing w:line="600" w:lineRule="exact"/>
        <w:ind w:right="0" w:firstLine="643" w:firstLineChars="200"/>
        <w:jc w:val="left"/>
        <w:textAlignment w:val="auto"/>
        <w:rPr>
          <w:rFonts w:ascii="Times New Roman" w:hAnsi="Times New Roman" w:eastAsia="黑体" w:cs="Times New Roman"/>
          <w:b/>
          <w:kern w:val="0"/>
          <w:sz w:val="32"/>
          <w:szCs w:val="32"/>
        </w:rPr>
      </w:pPr>
      <w:r>
        <w:rPr>
          <w:rFonts w:hint="eastAsia" w:ascii="Times New Roman" w:hAnsi="Times New Roman" w:eastAsia="黑体" w:cs="Times New Roman"/>
          <w:b/>
          <w:kern w:val="0"/>
          <w:sz w:val="32"/>
          <w:szCs w:val="32"/>
        </w:rPr>
        <w:t>七、</w:t>
      </w:r>
      <w:bookmarkStart w:id="7" w:name="_Hlk187224852"/>
      <w:r>
        <w:rPr>
          <w:rFonts w:hint="eastAsia" w:ascii="Times New Roman" w:hAnsi="Times New Roman" w:eastAsia="黑体" w:cs="Times New Roman"/>
          <w:b/>
          <w:kern w:val="0"/>
          <w:sz w:val="32"/>
          <w:szCs w:val="32"/>
        </w:rPr>
        <w:t>与有关的现行法律、法规和强制性标准的关系</w:t>
      </w:r>
    </w:p>
    <w:p w14:paraId="76C60583">
      <w:pPr>
        <w:keepNext w:val="0"/>
        <w:keepLines w:val="0"/>
        <w:pageBreakBefore w:val="0"/>
        <w:kinsoku/>
        <w:wordWrap/>
        <w:overflowPunct/>
        <w:topLinePunct w:val="0"/>
        <w:bidi w:val="0"/>
        <w:adjustRightInd/>
        <w:snapToGrid/>
        <w:spacing w:line="600" w:lineRule="exact"/>
        <w:ind w:right="0" w:firstLine="640" w:firstLineChars="200"/>
        <w:textAlignment w:val="auto"/>
        <w:rPr>
          <w:rFonts w:ascii="仿宋" w:hAnsi="仿宋" w:eastAsia="仿宋" w:cs="Times New Roman"/>
          <w:bCs/>
          <w:kern w:val="0"/>
          <w:sz w:val="32"/>
          <w:szCs w:val="32"/>
        </w:rPr>
      </w:pPr>
      <w:r>
        <w:rPr>
          <w:rFonts w:hint="eastAsia" w:ascii="仿宋" w:hAnsi="仿宋" w:eastAsia="仿宋" w:cs="Times New Roman"/>
          <w:bCs/>
          <w:kern w:val="0"/>
          <w:sz w:val="32"/>
          <w:szCs w:val="32"/>
        </w:rPr>
        <w:t>本标准</w:t>
      </w:r>
      <w:r>
        <w:rPr>
          <w:rFonts w:ascii="仿宋" w:hAnsi="仿宋" w:eastAsia="仿宋" w:cs="Times New Roman"/>
          <w:bCs/>
          <w:kern w:val="0"/>
          <w:sz w:val="32"/>
          <w:szCs w:val="32"/>
        </w:rPr>
        <w:t>与现行</w:t>
      </w:r>
      <w:r>
        <w:rPr>
          <w:rFonts w:hint="eastAsia" w:ascii="仿宋" w:hAnsi="仿宋" w:eastAsia="仿宋" w:cs="Times New Roman"/>
          <w:bCs/>
          <w:kern w:val="0"/>
          <w:sz w:val="32"/>
          <w:szCs w:val="32"/>
        </w:rPr>
        <w:t>相关法律、法规、规章及相关</w:t>
      </w:r>
      <w:r>
        <w:rPr>
          <w:rFonts w:ascii="仿宋" w:hAnsi="仿宋" w:eastAsia="仿宋" w:cs="Times New Roman"/>
          <w:bCs/>
          <w:kern w:val="0"/>
          <w:sz w:val="32"/>
          <w:szCs w:val="32"/>
        </w:rPr>
        <w:t>标准</w:t>
      </w:r>
      <w:r>
        <w:rPr>
          <w:rFonts w:hint="eastAsia" w:ascii="仿宋" w:hAnsi="仿宋" w:eastAsia="仿宋" w:cs="Times New Roman"/>
          <w:bCs/>
          <w:kern w:val="0"/>
          <w:sz w:val="32"/>
          <w:szCs w:val="32"/>
        </w:rPr>
        <w:t>协调一致，没有冲突。</w:t>
      </w:r>
    </w:p>
    <w:bookmarkEnd w:id="7"/>
    <w:p w14:paraId="6B8503C2">
      <w:pPr>
        <w:keepNext w:val="0"/>
        <w:keepLines w:val="0"/>
        <w:pageBreakBefore w:val="0"/>
        <w:kinsoku/>
        <w:wordWrap/>
        <w:overflowPunct/>
        <w:topLinePunct w:val="0"/>
        <w:bidi w:val="0"/>
        <w:adjustRightInd/>
        <w:snapToGrid/>
        <w:spacing w:line="600" w:lineRule="exact"/>
        <w:ind w:right="0" w:firstLine="643" w:firstLineChars="200"/>
        <w:jc w:val="left"/>
        <w:textAlignment w:val="auto"/>
        <w:rPr>
          <w:rFonts w:ascii="Times New Roman" w:hAnsi="Times New Roman" w:eastAsia="黑体" w:cs="Times New Roman"/>
          <w:b/>
          <w:kern w:val="0"/>
          <w:sz w:val="32"/>
          <w:szCs w:val="32"/>
        </w:rPr>
      </w:pPr>
      <w:r>
        <w:rPr>
          <w:rFonts w:hint="eastAsia" w:ascii="Times New Roman" w:hAnsi="Times New Roman" w:eastAsia="黑体" w:cs="Times New Roman"/>
          <w:b/>
          <w:kern w:val="0"/>
          <w:sz w:val="32"/>
          <w:szCs w:val="32"/>
        </w:rPr>
        <w:t>八、</w:t>
      </w:r>
      <w:r>
        <w:rPr>
          <w:rFonts w:ascii="Times New Roman" w:hAnsi="Times New Roman" w:eastAsia="黑体" w:cs="Times New Roman"/>
          <w:b/>
          <w:kern w:val="0"/>
          <w:sz w:val="32"/>
          <w:szCs w:val="32"/>
        </w:rPr>
        <w:t>其他需要说明的内容</w:t>
      </w:r>
    </w:p>
    <w:p w14:paraId="6EF6B762">
      <w:pPr>
        <w:keepNext w:val="0"/>
        <w:keepLines w:val="0"/>
        <w:pageBreakBefore w:val="0"/>
        <w:kinsoku/>
        <w:wordWrap/>
        <w:overflowPunct/>
        <w:topLinePunct w:val="0"/>
        <w:bidi w:val="0"/>
        <w:adjustRightInd/>
        <w:snapToGrid/>
        <w:spacing w:line="600" w:lineRule="exact"/>
        <w:ind w:right="0" w:firstLine="640" w:firstLineChars="200"/>
        <w:textAlignment w:val="auto"/>
        <w:rPr>
          <w:rFonts w:ascii="仿宋" w:hAnsi="仿宋" w:eastAsia="仿宋" w:cs="Times New Roman"/>
          <w:bCs/>
          <w:kern w:val="0"/>
          <w:sz w:val="32"/>
          <w:szCs w:val="32"/>
        </w:rPr>
      </w:pPr>
      <w:bookmarkStart w:id="8" w:name="_GoBack"/>
      <w:bookmarkEnd w:id="8"/>
      <w:r>
        <w:rPr>
          <w:rFonts w:ascii="仿宋" w:hAnsi="仿宋" w:eastAsia="仿宋" w:cs="Times New Roman"/>
          <w:bCs/>
          <w:kern w:val="0"/>
          <w:sz w:val="32"/>
          <w:szCs w:val="32"/>
        </w:rPr>
        <w:t>无</w:t>
      </w:r>
      <w:r>
        <w:rPr>
          <w:rFonts w:hint="eastAsia" w:ascii="仿宋" w:hAnsi="仿宋" w:eastAsia="仿宋" w:cs="Times New Roman"/>
          <w:bCs/>
          <w:kern w:val="0"/>
          <w:sz w:val="32"/>
          <w:szCs w:val="32"/>
        </w:rPr>
        <w:t>。</w:t>
      </w:r>
    </w:p>
    <w:p w14:paraId="01128A7F">
      <w:pPr>
        <w:keepNext w:val="0"/>
        <w:keepLines w:val="0"/>
        <w:pageBreakBefore w:val="0"/>
        <w:kinsoku/>
        <w:wordWrap/>
        <w:overflowPunct/>
        <w:topLinePunct w:val="0"/>
        <w:bidi w:val="0"/>
        <w:adjustRightInd/>
        <w:snapToGrid/>
        <w:spacing w:line="600" w:lineRule="exact"/>
        <w:ind w:right="0" w:firstLine="640" w:firstLineChars="200"/>
        <w:jc w:val="right"/>
        <w:textAlignment w:val="auto"/>
        <w:rPr>
          <w:rFonts w:ascii="仿宋" w:hAnsi="仿宋" w:eastAsia="仿宋" w:cs="Times New Roman"/>
          <w:bCs/>
          <w:kern w:val="0"/>
          <w:sz w:val="32"/>
          <w:szCs w:val="32"/>
        </w:rPr>
      </w:pPr>
    </w:p>
    <w:p w14:paraId="44D3B801">
      <w:pPr>
        <w:keepNext w:val="0"/>
        <w:keepLines w:val="0"/>
        <w:pageBreakBefore w:val="0"/>
        <w:kinsoku/>
        <w:wordWrap/>
        <w:overflowPunct/>
        <w:topLinePunct w:val="0"/>
        <w:bidi w:val="0"/>
        <w:adjustRightInd/>
        <w:snapToGrid/>
        <w:spacing w:line="600" w:lineRule="exact"/>
        <w:ind w:right="0" w:firstLine="640" w:firstLineChars="200"/>
        <w:jc w:val="right"/>
        <w:textAlignment w:val="auto"/>
        <w:rPr>
          <w:rFonts w:ascii="仿宋" w:hAnsi="仿宋" w:eastAsia="仿宋" w:cs="Times New Roman"/>
          <w:bCs/>
          <w:kern w:val="0"/>
          <w:sz w:val="32"/>
          <w:szCs w:val="32"/>
        </w:rPr>
      </w:pPr>
    </w:p>
    <w:p w14:paraId="7E224FED">
      <w:pPr>
        <w:keepNext w:val="0"/>
        <w:keepLines w:val="0"/>
        <w:pageBreakBefore w:val="0"/>
        <w:kinsoku/>
        <w:wordWrap/>
        <w:overflowPunct/>
        <w:topLinePunct w:val="0"/>
        <w:bidi w:val="0"/>
        <w:adjustRightInd/>
        <w:snapToGrid/>
        <w:spacing w:line="600" w:lineRule="exact"/>
        <w:ind w:left="0" w:leftChars="0" w:right="0" w:firstLine="4198" w:firstLineChars="1312"/>
        <w:jc w:val="center"/>
        <w:textAlignment w:val="auto"/>
        <w:rPr>
          <w:rFonts w:ascii="Times New Roman" w:hAnsi="Times New Roman" w:eastAsia="仿宋" w:cs="Times New Roman"/>
          <w:kern w:val="0"/>
          <w:sz w:val="32"/>
          <w:szCs w:val="32"/>
        </w:rPr>
      </w:pPr>
      <w:r>
        <w:rPr>
          <w:rFonts w:ascii="Times New Roman" w:hAnsi="Times New Roman" w:eastAsia="仿宋" w:cs="Times New Roman"/>
          <w:kern w:val="0"/>
          <w:sz w:val="32"/>
          <w:szCs w:val="32"/>
        </w:rPr>
        <w:t>标准</w:t>
      </w:r>
      <w:r>
        <w:rPr>
          <w:rFonts w:hint="eastAsia" w:ascii="Times New Roman" w:hAnsi="Times New Roman" w:eastAsia="仿宋" w:cs="Times New Roman"/>
          <w:kern w:val="0"/>
          <w:sz w:val="32"/>
          <w:szCs w:val="32"/>
        </w:rPr>
        <w:t>编制</w:t>
      </w:r>
      <w:r>
        <w:rPr>
          <w:rFonts w:ascii="Times New Roman" w:hAnsi="Times New Roman" w:eastAsia="仿宋" w:cs="Times New Roman"/>
          <w:kern w:val="0"/>
          <w:sz w:val="32"/>
          <w:szCs w:val="32"/>
        </w:rPr>
        <w:t>工作组</w:t>
      </w:r>
    </w:p>
    <w:p w14:paraId="397E2984">
      <w:pPr>
        <w:keepNext w:val="0"/>
        <w:keepLines w:val="0"/>
        <w:pageBreakBefore w:val="0"/>
        <w:kinsoku/>
        <w:wordWrap/>
        <w:overflowPunct/>
        <w:topLinePunct w:val="0"/>
        <w:bidi w:val="0"/>
        <w:adjustRightInd/>
        <w:snapToGrid/>
        <w:spacing w:line="600" w:lineRule="exact"/>
        <w:ind w:left="0" w:leftChars="0" w:right="0" w:firstLine="4198" w:firstLineChars="1312"/>
        <w:jc w:val="center"/>
        <w:textAlignment w:val="auto"/>
        <w:rPr>
          <w:rFonts w:ascii="Times New Roman" w:hAnsi="Times New Roman" w:eastAsia="仿宋" w:cs="Times New Roman"/>
          <w:b/>
          <w:bCs/>
          <w:kern w:val="0"/>
          <w:sz w:val="32"/>
          <w:szCs w:val="32"/>
        </w:rPr>
      </w:pPr>
      <w:r>
        <w:rPr>
          <w:rFonts w:ascii="Times New Roman" w:hAnsi="Times New Roman" w:eastAsia="仿宋" w:cs="Times New Roman"/>
          <w:kern w:val="0"/>
          <w:sz w:val="32"/>
          <w:szCs w:val="32"/>
        </w:rPr>
        <w:t>2025年7月23日</w:t>
      </w:r>
    </w:p>
    <w:sectPr>
      <w:pgSz w:w="11906" w:h="16838"/>
      <w:pgMar w:top="2098" w:right="1474" w:bottom="198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A41"/>
    <w:rsid w:val="000018AC"/>
    <w:rsid w:val="0001043D"/>
    <w:rsid w:val="00010CF7"/>
    <w:rsid w:val="00013235"/>
    <w:rsid w:val="000346BA"/>
    <w:rsid w:val="00053652"/>
    <w:rsid w:val="00060BE9"/>
    <w:rsid w:val="0006157C"/>
    <w:rsid w:val="000758DC"/>
    <w:rsid w:val="000824DE"/>
    <w:rsid w:val="00094DFE"/>
    <w:rsid w:val="000B6B4D"/>
    <w:rsid w:val="000B7F41"/>
    <w:rsid w:val="000C070E"/>
    <w:rsid w:val="000C78A8"/>
    <w:rsid w:val="00105059"/>
    <w:rsid w:val="001076F3"/>
    <w:rsid w:val="00141049"/>
    <w:rsid w:val="0014424A"/>
    <w:rsid w:val="001671B9"/>
    <w:rsid w:val="00194CE9"/>
    <w:rsid w:val="00196A8B"/>
    <w:rsid w:val="001A3063"/>
    <w:rsid w:val="001A734C"/>
    <w:rsid w:val="001B218B"/>
    <w:rsid w:val="001B389D"/>
    <w:rsid w:val="001C5B1B"/>
    <w:rsid w:val="001C7F5D"/>
    <w:rsid w:val="001D3BCD"/>
    <w:rsid w:val="002035E1"/>
    <w:rsid w:val="00226C67"/>
    <w:rsid w:val="002359DB"/>
    <w:rsid w:val="00257ABE"/>
    <w:rsid w:val="00275D4F"/>
    <w:rsid w:val="00297555"/>
    <w:rsid w:val="002A02F3"/>
    <w:rsid w:val="002A14A1"/>
    <w:rsid w:val="002A2D55"/>
    <w:rsid w:val="002A447C"/>
    <w:rsid w:val="002A7FC2"/>
    <w:rsid w:val="002C00DE"/>
    <w:rsid w:val="002D2643"/>
    <w:rsid w:val="002E787D"/>
    <w:rsid w:val="002F161B"/>
    <w:rsid w:val="002F3626"/>
    <w:rsid w:val="003042C4"/>
    <w:rsid w:val="00310329"/>
    <w:rsid w:val="003176BC"/>
    <w:rsid w:val="00324233"/>
    <w:rsid w:val="00325837"/>
    <w:rsid w:val="003624E6"/>
    <w:rsid w:val="00381D9B"/>
    <w:rsid w:val="003C59F3"/>
    <w:rsid w:val="003C6F0D"/>
    <w:rsid w:val="003C76A5"/>
    <w:rsid w:val="003D12CF"/>
    <w:rsid w:val="003E0123"/>
    <w:rsid w:val="003E289A"/>
    <w:rsid w:val="003E327D"/>
    <w:rsid w:val="003F304E"/>
    <w:rsid w:val="003F444F"/>
    <w:rsid w:val="0040197D"/>
    <w:rsid w:val="004232FD"/>
    <w:rsid w:val="00423419"/>
    <w:rsid w:val="00446175"/>
    <w:rsid w:val="004A4D68"/>
    <w:rsid w:val="004F3C51"/>
    <w:rsid w:val="0052161C"/>
    <w:rsid w:val="00525560"/>
    <w:rsid w:val="005302A0"/>
    <w:rsid w:val="00530DC1"/>
    <w:rsid w:val="00540A4C"/>
    <w:rsid w:val="00542B15"/>
    <w:rsid w:val="0055111C"/>
    <w:rsid w:val="00564917"/>
    <w:rsid w:val="00581D56"/>
    <w:rsid w:val="00582965"/>
    <w:rsid w:val="00597A1A"/>
    <w:rsid w:val="005B2114"/>
    <w:rsid w:val="005B7447"/>
    <w:rsid w:val="005C1420"/>
    <w:rsid w:val="005D3ED9"/>
    <w:rsid w:val="005E117B"/>
    <w:rsid w:val="005E732E"/>
    <w:rsid w:val="005F43FE"/>
    <w:rsid w:val="00625EA3"/>
    <w:rsid w:val="00631714"/>
    <w:rsid w:val="00632765"/>
    <w:rsid w:val="00635DFF"/>
    <w:rsid w:val="00636E69"/>
    <w:rsid w:val="0064392D"/>
    <w:rsid w:val="00652C7B"/>
    <w:rsid w:val="006967BB"/>
    <w:rsid w:val="006B4896"/>
    <w:rsid w:val="006C7D3C"/>
    <w:rsid w:val="006E48D0"/>
    <w:rsid w:val="006E6355"/>
    <w:rsid w:val="006F23F0"/>
    <w:rsid w:val="00725B74"/>
    <w:rsid w:val="00773BAF"/>
    <w:rsid w:val="00775FB2"/>
    <w:rsid w:val="00785E2B"/>
    <w:rsid w:val="00796F2F"/>
    <w:rsid w:val="007C24C5"/>
    <w:rsid w:val="007D67EF"/>
    <w:rsid w:val="008024CD"/>
    <w:rsid w:val="00827A89"/>
    <w:rsid w:val="00867F68"/>
    <w:rsid w:val="00871F38"/>
    <w:rsid w:val="008A3C6F"/>
    <w:rsid w:val="008B4093"/>
    <w:rsid w:val="008E4FF9"/>
    <w:rsid w:val="008E6C98"/>
    <w:rsid w:val="00903BDD"/>
    <w:rsid w:val="009063E6"/>
    <w:rsid w:val="0091050F"/>
    <w:rsid w:val="00912F8B"/>
    <w:rsid w:val="00914121"/>
    <w:rsid w:val="00920BC2"/>
    <w:rsid w:val="00925D90"/>
    <w:rsid w:val="00926425"/>
    <w:rsid w:val="00942642"/>
    <w:rsid w:val="009461D7"/>
    <w:rsid w:val="009677F2"/>
    <w:rsid w:val="009709C0"/>
    <w:rsid w:val="00994776"/>
    <w:rsid w:val="009A5C60"/>
    <w:rsid w:val="009A6A4E"/>
    <w:rsid w:val="009B0D7A"/>
    <w:rsid w:val="00A16903"/>
    <w:rsid w:val="00A235DB"/>
    <w:rsid w:val="00A35DB0"/>
    <w:rsid w:val="00A53BF2"/>
    <w:rsid w:val="00A75C5E"/>
    <w:rsid w:val="00A9160E"/>
    <w:rsid w:val="00AB71BA"/>
    <w:rsid w:val="00AF6257"/>
    <w:rsid w:val="00AF6C4D"/>
    <w:rsid w:val="00B1440B"/>
    <w:rsid w:val="00B32F97"/>
    <w:rsid w:val="00B54BF6"/>
    <w:rsid w:val="00B66855"/>
    <w:rsid w:val="00B701CD"/>
    <w:rsid w:val="00B80A41"/>
    <w:rsid w:val="00BB7FF0"/>
    <w:rsid w:val="00BD25C2"/>
    <w:rsid w:val="00BE026E"/>
    <w:rsid w:val="00BF53C5"/>
    <w:rsid w:val="00C044F6"/>
    <w:rsid w:val="00C069B8"/>
    <w:rsid w:val="00C15FDF"/>
    <w:rsid w:val="00C36064"/>
    <w:rsid w:val="00C4729B"/>
    <w:rsid w:val="00C57329"/>
    <w:rsid w:val="00C80BE3"/>
    <w:rsid w:val="00C856F3"/>
    <w:rsid w:val="00CA4681"/>
    <w:rsid w:val="00CA6552"/>
    <w:rsid w:val="00CB0F0A"/>
    <w:rsid w:val="00CD0060"/>
    <w:rsid w:val="00CF0642"/>
    <w:rsid w:val="00D3532B"/>
    <w:rsid w:val="00D553BF"/>
    <w:rsid w:val="00D6563F"/>
    <w:rsid w:val="00D73183"/>
    <w:rsid w:val="00D76B59"/>
    <w:rsid w:val="00D90CA0"/>
    <w:rsid w:val="00DC23F7"/>
    <w:rsid w:val="00DE4998"/>
    <w:rsid w:val="00DF2994"/>
    <w:rsid w:val="00DF7CAE"/>
    <w:rsid w:val="00E02F86"/>
    <w:rsid w:val="00E27912"/>
    <w:rsid w:val="00E61637"/>
    <w:rsid w:val="00E63D35"/>
    <w:rsid w:val="00E83040"/>
    <w:rsid w:val="00EA1739"/>
    <w:rsid w:val="00EA1940"/>
    <w:rsid w:val="00EC363A"/>
    <w:rsid w:val="00EC4081"/>
    <w:rsid w:val="00EC7DA8"/>
    <w:rsid w:val="00EE3F7D"/>
    <w:rsid w:val="00EE7AEC"/>
    <w:rsid w:val="00F024F0"/>
    <w:rsid w:val="00F46222"/>
    <w:rsid w:val="00F61E1A"/>
    <w:rsid w:val="00F947EF"/>
    <w:rsid w:val="00FB42A5"/>
    <w:rsid w:val="00FB5D8E"/>
    <w:rsid w:val="00FE1416"/>
    <w:rsid w:val="00FF0590"/>
    <w:rsid w:val="00FF3019"/>
    <w:rsid w:val="2AAB7A0D"/>
    <w:rsid w:val="2FD80049"/>
    <w:rsid w:val="AFC76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2"/>
    <w:basedOn w:val="1"/>
    <w:next w:val="1"/>
    <w:semiHidden/>
    <w:unhideWhenUsed/>
    <w:qFormat/>
    <w:uiPriority w:val="39"/>
    <w:pPr>
      <w:ind w:left="420" w:leftChars="200"/>
    </w:pPr>
  </w:style>
  <w:style w:type="paragraph" w:styleId="6">
    <w:name w:val="Normal (Web)"/>
    <w:basedOn w:val="1"/>
    <w:semiHidden/>
    <w:unhideWhenUsed/>
    <w:qFormat/>
    <w:uiPriority w:val="99"/>
    <w:rPr>
      <w:rFonts w:ascii="Times New Roman" w:hAnsi="Times New Roman" w:cs="Times New Roman"/>
      <w:sz w:val="24"/>
      <w:szCs w:val="24"/>
    </w:rPr>
  </w:style>
  <w:style w:type="table" w:styleId="8">
    <w:name w:val="Table Grid"/>
    <w:basedOn w:val="7"/>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日期 字符"/>
    <w:basedOn w:val="9"/>
    <w:link w:val="2"/>
    <w:semiHidden/>
    <w:qFormat/>
    <w:uiPriority w:val="99"/>
  </w:style>
  <w:style w:type="paragraph" w:styleId="11">
    <w:name w:val="List Paragraph"/>
    <w:basedOn w:val="1"/>
    <w:qFormat/>
    <w:uiPriority w:val="34"/>
    <w:pPr>
      <w:ind w:firstLine="420" w:firstLineChars="200"/>
    </w:pPr>
  </w:style>
  <w:style w:type="character" w:customStyle="1" w:styleId="12">
    <w:name w:val="页眉 字符"/>
    <w:basedOn w:val="9"/>
    <w:link w:val="4"/>
    <w:qFormat/>
    <w:uiPriority w:val="99"/>
    <w:rPr>
      <w:sz w:val="18"/>
      <w:szCs w:val="18"/>
    </w:rPr>
  </w:style>
  <w:style w:type="character" w:customStyle="1" w:styleId="13">
    <w:name w:val="页脚 字符"/>
    <w:basedOn w:val="9"/>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1033</Words>
  <Characters>1120</Characters>
  <Lines>276</Lines>
  <Paragraphs>312</Paragraphs>
  <TotalTime>847</TotalTime>
  <ScaleCrop>false</ScaleCrop>
  <LinksUpToDate>false</LinksUpToDate>
  <CharactersWithSpaces>1166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2025-07-23T13:43:00Z</dcterms:created>
  <dc:creator>Administrator</dc:creator>
  <cp:lastModifiedBy>宋显达</cp:lastModifiedBy>
  <dcterms:modified xsi:type="dcterms:W3CDTF">2025-09-17T02:29:53Z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CE2955CE05F64BB0BC6F6F17717E16AD_13</vt:lpwstr>
  </property>
  <property fmtid="{D5CDD505-2E9C-101B-9397-08002B2CF9AE}" pid="4" name="KSOTemplateDocerSaveRecord">
    <vt:lpwstr>eyJoZGlkIjoiZDYwNGY4MzRlNDk3MTAwZDdkOGE2MDhmZTU0OGI0MzAiLCJ1c2VySWQiOiIzNDk3OTI3NzkifQ==</vt:lpwstr>
  </property>
</Properties>
</file>