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W w:w="0" w:type="auto"/>
        <w:jc w:val="center"/>
        <w:tblLayout w:type="autofit"/>
        <w:tblCellMar>
          <w:top w:w="0" w:type="dxa"/>
          <w:left w:w="108" w:type="dxa"/>
          <w:bottom w:w="0" w:type="dxa"/>
          <w:right w:w="108" w:type="dxa"/>
        </w:tblCellMar>
      </w:tblPr>
      <w:tblGrid>
        <w:gridCol w:w="7833"/>
      </w:tblGrid>
      <w:tr w14:paraId="35BF16C6">
        <w:tblPrEx>
          <w:tblCellMar>
            <w:top w:w="0" w:type="dxa"/>
            <w:left w:w="108" w:type="dxa"/>
            <w:bottom w:w="0" w:type="dxa"/>
            <w:right w:w="108" w:type="dxa"/>
          </w:tblCellMar>
        </w:tblPrEx>
        <w:trPr>
          <w:jc w:val="center"/>
        </w:trPr>
        <w:tc>
          <w:tcPr>
            <w:tcW w:w="7833" w:type="dxa"/>
          </w:tcPr>
          <w:p w14:paraId="18E1ADE6">
            <w:pPr>
              <w:spacing w:before="1280" w:line="1400" w:lineRule="exact"/>
              <w:jc w:val="distribute"/>
              <w:rPr>
                <w:rFonts w:eastAsia="方正大标宋简体"/>
                <w:color w:val="FF0000"/>
                <w:w w:val="66"/>
                <w:sz w:val="122"/>
                <w:szCs w:val="122"/>
              </w:rPr>
            </w:pPr>
            <w:r>
              <w:rPr>
                <w:rFonts w:hint="eastAsia" w:eastAsia="方正大标宋简体" w:cs="方正大标宋简体"/>
                <w:color w:val="FF0000"/>
                <w:w w:val="66"/>
                <w:sz w:val="122"/>
                <w:szCs w:val="122"/>
              </w:rPr>
              <w:t>湖南省民政厅文件</w:t>
            </w:r>
          </w:p>
        </w:tc>
      </w:tr>
    </w:tbl>
    <w:p w14:paraId="7E72560B"/>
    <w:tbl>
      <w:tblPr>
        <w:tblStyle w:val="5"/>
        <w:tblW w:w="0" w:type="auto"/>
        <w:jc w:val="center"/>
        <w:tblBorders>
          <w:top w:val="none" w:color="auto" w:sz="0" w:space="0"/>
          <w:left w:val="none" w:color="auto" w:sz="0" w:space="0"/>
          <w:bottom w:val="single" w:color="FF0000" w:sz="4"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9060"/>
      </w:tblGrid>
      <w:tr w14:paraId="70D162C9">
        <w:tblPrEx>
          <w:tblBorders>
            <w:top w:val="none" w:color="auto" w:sz="0" w:space="0"/>
            <w:left w:val="none" w:color="auto" w:sz="0" w:space="0"/>
            <w:bottom w:val="single" w:color="FF0000" w:sz="4"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9060" w:type="dxa"/>
            <w:tcBorders>
              <w:bottom w:val="single" w:color="FF0000" w:sz="4" w:space="0"/>
            </w:tcBorders>
          </w:tcPr>
          <w:p w14:paraId="151DBF25">
            <w:pPr>
              <w:spacing w:before="440" w:after="100"/>
              <w:jc w:val="center"/>
            </w:pPr>
            <w:r>
              <w:rPr>
                <w:rFonts w:hint="eastAsia" w:cs="仿宋_GB2312"/>
              </w:rPr>
              <w:t>湘民发〔</w:t>
            </w:r>
            <w:r>
              <w:t>2019</w:t>
            </w:r>
            <w:r>
              <w:rPr>
                <w:rFonts w:hint="eastAsia" w:cs="仿宋_GB2312"/>
              </w:rPr>
              <w:t>〕</w:t>
            </w:r>
            <w:r>
              <w:t>2</w:t>
            </w:r>
            <w:r>
              <w:rPr>
                <w:rFonts w:hint="eastAsia" w:cs="仿宋_GB2312"/>
              </w:rPr>
              <w:t>号</w:t>
            </w:r>
          </w:p>
        </w:tc>
      </w:tr>
    </w:tbl>
    <w:p w14:paraId="3FF96B4A">
      <w:pPr>
        <w:spacing w:line="580" w:lineRule="exact"/>
        <w:jc w:val="center"/>
      </w:pPr>
    </w:p>
    <w:p w14:paraId="50F988E6">
      <w:pPr>
        <w:spacing w:line="580" w:lineRule="exact"/>
        <w:rPr>
          <w:rFonts w:eastAsia="仿宋"/>
          <w:color w:val="000000"/>
          <w:kern w:val="36"/>
        </w:rPr>
      </w:pPr>
    </w:p>
    <w:p w14:paraId="635871E3">
      <w:pPr>
        <w:spacing w:line="580" w:lineRule="exact"/>
        <w:jc w:val="center"/>
        <w:rPr>
          <w:rFonts w:eastAsia="方正小标宋简体"/>
          <w:sz w:val="44"/>
          <w:szCs w:val="44"/>
        </w:rPr>
      </w:pPr>
      <w:r>
        <w:rPr>
          <w:rFonts w:hint="eastAsia" w:eastAsia="方正小标宋简体" w:cs="方正小标宋简体"/>
          <w:sz w:val="44"/>
          <w:szCs w:val="44"/>
        </w:rPr>
        <w:t>湖南省民政厅关于印发</w:t>
      </w:r>
    </w:p>
    <w:p w14:paraId="4BF6A42C">
      <w:pPr>
        <w:spacing w:line="580" w:lineRule="exact"/>
        <w:jc w:val="center"/>
        <w:rPr>
          <w:rFonts w:eastAsia="方正小标宋简体"/>
          <w:sz w:val="44"/>
          <w:szCs w:val="44"/>
        </w:rPr>
      </w:pPr>
      <w:r>
        <w:rPr>
          <w:rFonts w:hint="eastAsia" w:eastAsia="方正小标宋简体" w:cs="方正小标宋简体"/>
          <w:sz w:val="44"/>
          <w:szCs w:val="44"/>
        </w:rPr>
        <w:t>《</w:t>
      </w:r>
      <w:r>
        <w:rPr>
          <w:rFonts w:eastAsia="方正小标宋简体"/>
          <w:sz w:val="44"/>
          <w:szCs w:val="44"/>
        </w:rPr>
        <w:t>2019</w:t>
      </w:r>
      <w:r>
        <w:rPr>
          <w:rFonts w:hint="eastAsia" w:eastAsia="方正小标宋简体" w:cs="方正小标宋简体"/>
          <w:sz w:val="44"/>
          <w:szCs w:val="44"/>
        </w:rPr>
        <w:t>年民政工作要点》的通知</w:t>
      </w:r>
    </w:p>
    <w:p w14:paraId="23AD34B2">
      <w:pPr>
        <w:spacing w:line="580" w:lineRule="exact"/>
        <w:rPr>
          <w:rFonts w:eastAsia="方正小标宋简体"/>
          <w:sz w:val="44"/>
          <w:szCs w:val="44"/>
        </w:rPr>
      </w:pPr>
    </w:p>
    <w:p w14:paraId="512A61A8">
      <w:pPr>
        <w:spacing w:line="580" w:lineRule="exact"/>
      </w:pPr>
      <w:r>
        <w:rPr>
          <w:rFonts w:hint="eastAsia" w:cs="仿宋_GB2312"/>
        </w:rPr>
        <w:t>各市州、县市区民政局，厅机关各处室局、直属各单位：</w:t>
      </w:r>
    </w:p>
    <w:p w14:paraId="158B44A2">
      <w:pPr>
        <w:spacing w:line="580" w:lineRule="exact"/>
        <w:ind w:firstLine="640" w:firstLineChars="200"/>
      </w:pPr>
      <w:r>
        <w:rPr>
          <w:rFonts w:hint="eastAsia" w:cs="仿宋_GB2312"/>
        </w:rPr>
        <w:t>《</w:t>
      </w:r>
      <w:r>
        <w:t>2019</w:t>
      </w:r>
      <w:r>
        <w:rPr>
          <w:rFonts w:hint="eastAsia" w:cs="仿宋_GB2312"/>
        </w:rPr>
        <w:t>年民政工作要点》已经厅党组会审议通过，现印发给你们，请结合实际，认真贯彻落实。</w:t>
      </w:r>
    </w:p>
    <w:p w14:paraId="282FEBC1">
      <w:pPr>
        <w:spacing w:line="580" w:lineRule="exact"/>
      </w:pPr>
    </w:p>
    <w:p w14:paraId="09287EAD">
      <w:pPr>
        <w:spacing w:line="580" w:lineRule="exact"/>
      </w:pPr>
    </w:p>
    <w:p w14:paraId="41666AB9">
      <w:pPr>
        <w:spacing w:line="580" w:lineRule="exact"/>
        <w:ind w:left="3779" w:leftChars="1181"/>
        <w:jc w:val="center"/>
      </w:pPr>
      <w:r>
        <w:rPr>
          <w:rFonts w:hint="eastAsia" w:cs="仿宋_GB2312"/>
        </w:rPr>
        <w:t>湖南省民政厅</w:t>
      </w:r>
    </w:p>
    <w:p w14:paraId="71E5F73A">
      <w:pPr>
        <w:spacing w:line="580" w:lineRule="exact"/>
        <w:ind w:left="3779" w:leftChars="1181"/>
        <w:jc w:val="center"/>
      </w:pPr>
      <w:r>
        <w:t>2019</w:t>
      </w:r>
      <w:r>
        <w:rPr>
          <w:rFonts w:hint="eastAsia" w:cs="仿宋_GB2312"/>
        </w:rPr>
        <w:t>年</w:t>
      </w:r>
      <w:r>
        <w:t>2</w:t>
      </w:r>
      <w:r>
        <w:rPr>
          <w:rFonts w:hint="eastAsia" w:cs="仿宋_GB2312"/>
        </w:rPr>
        <w:t>月</w:t>
      </w:r>
      <w:r>
        <w:t>18</w:t>
      </w:r>
      <w:r>
        <w:rPr>
          <w:rFonts w:hint="eastAsia" w:cs="仿宋_GB2312"/>
        </w:rPr>
        <w:t>日</w:t>
      </w:r>
    </w:p>
    <w:p w14:paraId="6E19A5EF">
      <w:pPr>
        <w:spacing w:line="580" w:lineRule="exact"/>
        <w:jc w:val="center"/>
        <w:rPr>
          <w:rFonts w:eastAsia="方正小标宋简体"/>
          <w:sz w:val="36"/>
          <w:szCs w:val="36"/>
        </w:rPr>
      </w:pPr>
      <w:r>
        <w:br w:type="page"/>
      </w:r>
    </w:p>
    <w:p w14:paraId="59A28593">
      <w:pPr>
        <w:spacing w:line="580" w:lineRule="exact"/>
        <w:jc w:val="center"/>
        <w:rPr>
          <w:rFonts w:eastAsia="方正小标宋简体"/>
          <w:sz w:val="44"/>
          <w:szCs w:val="44"/>
        </w:rPr>
      </w:pPr>
      <w:r>
        <w:rPr>
          <w:rFonts w:eastAsia="方正小标宋简体"/>
          <w:sz w:val="44"/>
          <w:szCs w:val="44"/>
        </w:rPr>
        <w:t>2019</w:t>
      </w:r>
      <w:r>
        <w:rPr>
          <w:rFonts w:hint="eastAsia" w:eastAsia="方正小标宋简体" w:cs="方正小标宋简体"/>
          <w:sz w:val="44"/>
          <w:szCs w:val="44"/>
        </w:rPr>
        <w:t>年全省民政工作要点</w:t>
      </w:r>
    </w:p>
    <w:p w14:paraId="2A0A9BC4">
      <w:pPr>
        <w:spacing w:line="580" w:lineRule="exact"/>
        <w:rPr>
          <w:sz w:val="36"/>
          <w:szCs w:val="36"/>
        </w:rPr>
      </w:pPr>
    </w:p>
    <w:p w14:paraId="4BF782E8">
      <w:pPr>
        <w:spacing w:line="580" w:lineRule="exact"/>
      </w:pPr>
      <w:r>
        <w:rPr>
          <w:sz w:val="36"/>
          <w:szCs w:val="36"/>
        </w:rPr>
        <w:t xml:space="preserve">    </w:t>
      </w:r>
      <w:r>
        <w:t>2019</w:t>
      </w:r>
      <w:r>
        <w:rPr>
          <w:rFonts w:hint="eastAsia" w:cs="仿宋_GB2312"/>
        </w:rPr>
        <w:t>年是新中国成立</w:t>
      </w:r>
      <w:r>
        <w:t>70</w:t>
      </w:r>
      <w:r>
        <w:rPr>
          <w:rFonts w:hint="eastAsia" w:cs="仿宋_GB2312"/>
        </w:rPr>
        <w:t>周年，是全面建成小康社会关键之年。全省民政工作要以习近平新时代中国特色社会主义思想为指导，全面贯彻党的十九大和十九届二中、三中全会精神，坚决落实党中央国务院、省委省政府重大决策部署，贯彻落实全国民政工作会议精神，坚持和加强党的全面领导，坚持稳中求进工作总基调，坚持新发展理念，坚持高质量发展，践行以人民为中心的发展思想，树立</w:t>
      </w:r>
      <w:r>
        <w:t>“</w:t>
      </w:r>
      <w:r>
        <w:rPr>
          <w:rFonts w:hint="eastAsia" w:cs="仿宋_GB2312"/>
        </w:rPr>
        <w:t>民政为民、民政爱民</w:t>
      </w:r>
      <w:r>
        <w:t>”</w:t>
      </w:r>
      <w:r>
        <w:rPr>
          <w:rFonts w:hint="eastAsia" w:cs="仿宋_GB2312"/>
        </w:rPr>
        <w:t>工作理念，以五化民政建设为统揽，立足新起点，谋求新跨越，奋力谱写新时代民政事业改革发展新篇章。</w:t>
      </w:r>
    </w:p>
    <w:p w14:paraId="11FF5FEE">
      <w:pPr>
        <w:spacing w:line="580" w:lineRule="exact"/>
        <w:rPr>
          <w:rFonts w:eastAsia="黑体"/>
        </w:rPr>
      </w:pPr>
      <w:r>
        <w:rPr>
          <w:rFonts w:eastAsia="黑体"/>
        </w:rPr>
        <w:t xml:space="preserve">    </w:t>
      </w:r>
      <w:r>
        <w:rPr>
          <w:rFonts w:hint="eastAsia" w:eastAsia="黑体" w:cs="黑体"/>
        </w:rPr>
        <w:t>一、全面加强党的建设</w:t>
      </w:r>
    </w:p>
    <w:p w14:paraId="11A99B20">
      <w:pPr>
        <w:spacing w:line="580" w:lineRule="exact"/>
        <w:ind w:firstLine="643" w:firstLineChars="200"/>
      </w:pPr>
      <w:r>
        <w:rPr>
          <w:rFonts w:eastAsia="楷体"/>
          <w:b/>
          <w:bCs/>
        </w:rPr>
        <w:t>1</w:t>
      </w:r>
      <w:r>
        <w:rPr>
          <w:rFonts w:hint="eastAsia" w:eastAsia="楷体" w:cs="楷体"/>
          <w:b/>
          <w:bCs/>
        </w:rPr>
        <w:t>、深入学习贯彻习近平新时代中国特色社会主义思想。</w:t>
      </w:r>
      <w:r>
        <w:rPr>
          <w:rFonts w:hint="eastAsia" w:cs="仿宋_GB2312"/>
        </w:rPr>
        <w:t>深化</w:t>
      </w:r>
      <w:r>
        <w:t>“</w:t>
      </w:r>
      <w:r>
        <w:rPr>
          <w:rFonts w:hint="eastAsia" w:cs="仿宋_GB2312"/>
        </w:rPr>
        <w:t>不忘初心、牢记使命</w:t>
      </w:r>
      <w:r>
        <w:t>”</w:t>
      </w:r>
      <w:r>
        <w:rPr>
          <w:rFonts w:hint="eastAsia" w:cs="仿宋_GB2312"/>
        </w:rPr>
        <w:t>主题教育，完善中心组学习制度，丰富</w:t>
      </w:r>
      <w:r>
        <w:t>“</w:t>
      </w:r>
      <w:r>
        <w:rPr>
          <w:rFonts w:hint="eastAsia" w:cs="仿宋_GB2312"/>
        </w:rPr>
        <w:t>湘民讲坛</w:t>
      </w:r>
      <w:r>
        <w:t>”</w:t>
      </w:r>
      <w:r>
        <w:rPr>
          <w:rFonts w:hint="eastAsia" w:cs="仿宋_GB2312"/>
        </w:rPr>
        <w:t>内容，加强对习近平新时代中国特色社会主义思想、习近平总书记关于民生民政和对湖南工作的指示批示精神的学习，不断增强</w:t>
      </w:r>
      <w:r>
        <w:t>“</w:t>
      </w:r>
      <w:r>
        <w:rPr>
          <w:rFonts w:hint="eastAsia" w:cs="仿宋_GB2312"/>
        </w:rPr>
        <w:t>四个意识</w:t>
      </w:r>
      <w:r>
        <w:t>”</w:t>
      </w:r>
      <w:r>
        <w:rPr>
          <w:rFonts w:hint="eastAsia" w:cs="仿宋_GB2312"/>
        </w:rPr>
        <w:t>，坚定</w:t>
      </w:r>
      <w:r>
        <w:t>“</w:t>
      </w:r>
      <w:r>
        <w:rPr>
          <w:rFonts w:hint="eastAsia" w:cs="仿宋_GB2312"/>
        </w:rPr>
        <w:t>四个自信</w:t>
      </w:r>
      <w:r>
        <w:t>”</w:t>
      </w:r>
      <w:r>
        <w:rPr>
          <w:rFonts w:hint="eastAsia" w:cs="仿宋_GB2312"/>
        </w:rPr>
        <w:t>，践行</w:t>
      </w:r>
      <w:r>
        <w:t>“</w:t>
      </w:r>
      <w:r>
        <w:rPr>
          <w:rFonts w:hint="eastAsia" w:cs="仿宋_GB2312"/>
        </w:rPr>
        <w:t>两个维护</w:t>
      </w:r>
      <w:r>
        <w:t>”</w:t>
      </w:r>
      <w:r>
        <w:rPr>
          <w:rFonts w:hint="eastAsia" w:cs="仿宋_GB2312"/>
        </w:rPr>
        <w:t>。</w:t>
      </w:r>
    </w:p>
    <w:p w14:paraId="03CD1F5A">
      <w:pPr>
        <w:spacing w:line="580" w:lineRule="exact"/>
        <w:ind w:firstLine="643" w:firstLineChars="200"/>
      </w:pPr>
      <w:r>
        <w:rPr>
          <w:rFonts w:eastAsia="楷体"/>
          <w:b/>
          <w:bCs/>
        </w:rPr>
        <w:t>2</w:t>
      </w:r>
      <w:r>
        <w:rPr>
          <w:rFonts w:hint="eastAsia" w:eastAsia="楷体" w:cs="楷体"/>
          <w:b/>
          <w:bCs/>
        </w:rPr>
        <w:t>、加强政治建设。</w:t>
      </w:r>
      <w:r>
        <w:rPr>
          <w:rFonts w:hint="eastAsia" w:cs="仿宋_GB2312"/>
        </w:rPr>
        <w:t>以党的政治建设为统领，严明政治纪律和政治规矩，加强党内政治文化建设和党员干部党性锻炼。严肃党内政治生活，落实</w:t>
      </w:r>
      <w:r>
        <w:t>“</w:t>
      </w:r>
      <w:r>
        <w:rPr>
          <w:rFonts w:hint="eastAsia" w:cs="仿宋_GB2312"/>
        </w:rPr>
        <w:t>三会一课</w:t>
      </w:r>
      <w:r>
        <w:t>”</w:t>
      </w:r>
      <w:r>
        <w:rPr>
          <w:rFonts w:hint="eastAsia" w:cs="仿宋_GB2312"/>
        </w:rPr>
        <w:t>和党员领导干部民主生活会、组织生活会、民主评议党员、党员领导干部参加双重组织生活等基本制度。</w:t>
      </w:r>
    </w:p>
    <w:p w14:paraId="39044891">
      <w:pPr>
        <w:spacing w:line="580" w:lineRule="exact"/>
        <w:ind w:firstLine="643" w:firstLineChars="200"/>
      </w:pPr>
      <w:r>
        <w:rPr>
          <w:rFonts w:eastAsia="楷体"/>
          <w:b/>
          <w:bCs/>
        </w:rPr>
        <w:t>3</w:t>
      </w:r>
      <w:r>
        <w:rPr>
          <w:rFonts w:hint="eastAsia" w:eastAsia="楷体" w:cs="楷体"/>
          <w:b/>
          <w:bCs/>
        </w:rPr>
        <w:t>、加强机关党建。</w:t>
      </w:r>
      <w:r>
        <w:rPr>
          <w:rFonts w:hint="eastAsia" w:cs="仿宋_GB2312"/>
        </w:rPr>
        <w:t>加强支部标准化建设，完善党员量化积分管理，丰富主题党日活动，创新开展支部联基层活动，加强支部书记教育培训，组织中心组成员到梁家河、井冈山等地进行现场学习。繁荣发展机关文化，完善文体活动设施，建设绿色</w:t>
      </w:r>
      <w:r>
        <w:t>“</w:t>
      </w:r>
      <w:r>
        <w:rPr>
          <w:rFonts w:hint="eastAsia" w:cs="仿宋_GB2312"/>
        </w:rPr>
        <w:t>湘民庭院</w:t>
      </w:r>
      <w:r>
        <w:t>”</w:t>
      </w:r>
      <w:r>
        <w:rPr>
          <w:rFonts w:hint="eastAsia" w:cs="仿宋_GB2312"/>
        </w:rPr>
        <w:t>，组建业余爱好团队，成立志愿慈善公益服务队，不断增进机关文明，争创全省文明单位。</w:t>
      </w:r>
    </w:p>
    <w:p w14:paraId="4FB79BE2">
      <w:pPr>
        <w:spacing w:line="580" w:lineRule="exact"/>
        <w:ind w:firstLine="643" w:firstLineChars="200"/>
      </w:pPr>
      <w:r>
        <w:rPr>
          <w:rFonts w:eastAsia="楷体"/>
          <w:b/>
          <w:bCs/>
        </w:rPr>
        <w:t>4</w:t>
      </w:r>
      <w:r>
        <w:rPr>
          <w:rFonts w:hint="eastAsia" w:eastAsia="楷体" w:cs="楷体"/>
          <w:b/>
          <w:bCs/>
        </w:rPr>
        <w:t>、加强干部队伍建设。</w:t>
      </w:r>
      <w:r>
        <w:rPr>
          <w:rFonts w:hint="eastAsia" w:cs="仿宋_GB2312"/>
        </w:rPr>
        <w:t>加强民政职业道德建设，组织学习民政系统的先进典型，弘扬社会主义核心价值观。认真落实新时代党的组织路线，把</w:t>
      </w:r>
      <w:r>
        <w:t>“</w:t>
      </w:r>
      <w:r>
        <w:rPr>
          <w:rFonts w:hint="eastAsia" w:cs="仿宋_GB2312"/>
        </w:rPr>
        <w:t>好干部</w:t>
      </w:r>
      <w:r>
        <w:t>”</w:t>
      </w:r>
      <w:r>
        <w:rPr>
          <w:rFonts w:hint="eastAsia" w:cs="仿宋_GB2312"/>
        </w:rPr>
        <w:t>标准落到实处。加强干部教育培训，时刻保持知识恐慌、本领恐慌、能力恐慌，拓展培训渠道，创新教育方式，不断提高队伍能力素质。</w:t>
      </w:r>
    </w:p>
    <w:p w14:paraId="42FC7FAE">
      <w:pPr>
        <w:spacing w:line="580" w:lineRule="exact"/>
        <w:ind w:firstLine="643" w:firstLineChars="200"/>
      </w:pPr>
      <w:r>
        <w:rPr>
          <w:b/>
          <w:bCs/>
        </w:rPr>
        <w:t>5</w:t>
      </w:r>
      <w:r>
        <w:rPr>
          <w:rFonts w:hint="eastAsia" w:cs="仿宋_GB2312"/>
          <w:b/>
          <w:bCs/>
        </w:rPr>
        <w:t>、</w:t>
      </w:r>
      <w:r>
        <w:rPr>
          <w:rFonts w:hint="eastAsia" w:eastAsia="楷体" w:cs="楷体"/>
          <w:b/>
          <w:bCs/>
        </w:rPr>
        <w:t>加强宣传思想工作。</w:t>
      </w:r>
      <w:r>
        <w:rPr>
          <w:rFonts w:hint="eastAsia" w:cs="仿宋_GB2312"/>
        </w:rPr>
        <w:t>贯彻全国宣传思想工作会议精神，落实意识形态工作责任制，大力弘扬社会主义核心价值观，加强民政文化建设，自觉担负</w:t>
      </w:r>
      <w:r>
        <w:t>“</w:t>
      </w:r>
      <w:r>
        <w:rPr>
          <w:rFonts w:hint="eastAsia" w:cs="仿宋_GB2312"/>
        </w:rPr>
        <w:t>举旗帜、聚民心、育新人、兴文化、展形象</w:t>
      </w:r>
      <w:r>
        <w:t>”</w:t>
      </w:r>
      <w:r>
        <w:rPr>
          <w:rFonts w:hint="eastAsia" w:cs="仿宋_GB2312"/>
        </w:rPr>
        <w:t>使命任务。</w:t>
      </w:r>
    </w:p>
    <w:p w14:paraId="72010696">
      <w:pPr>
        <w:spacing w:line="580" w:lineRule="exact"/>
        <w:ind w:firstLine="643" w:firstLineChars="200"/>
      </w:pPr>
      <w:r>
        <w:rPr>
          <w:rFonts w:eastAsia="楷体"/>
          <w:b/>
          <w:bCs/>
        </w:rPr>
        <w:t>6</w:t>
      </w:r>
      <w:r>
        <w:rPr>
          <w:rFonts w:hint="eastAsia" w:eastAsia="楷体" w:cs="楷体"/>
          <w:b/>
          <w:bCs/>
        </w:rPr>
        <w:t>、加强党风廉政建设。</w:t>
      </w:r>
      <w:r>
        <w:rPr>
          <w:rFonts w:hint="eastAsia" w:cs="仿宋_GB2312"/>
        </w:rPr>
        <w:t>贯彻中纪委三次全会和省纪委四次全会精神，落实全面从严治党主体责任，持之以恒落实中央八项规定精神，坚定不移纠正</w:t>
      </w:r>
      <w:r>
        <w:t>“</w:t>
      </w:r>
      <w:r>
        <w:rPr>
          <w:rFonts w:hint="eastAsia" w:cs="仿宋_GB2312"/>
        </w:rPr>
        <w:t>四风</w:t>
      </w:r>
      <w:r>
        <w:t>”</w:t>
      </w:r>
      <w:r>
        <w:rPr>
          <w:rFonts w:hint="eastAsia" w:cs="仿宋_GB2312"/>
        </w:rPr>
        <w:t>，集中整治形式主义和官僚主义。深化</w:t>
      </w:r>
      <w:r>
        <w:t>“</w:t>
      </w:r>
      <w:r>
        <w:rPr>
          <w:rFonts w:hint="eastAsia" w:cs="仿宋_GB2312"/>
        </w:rPr>
        <w:t>雁过拔毛式</w:t>
      </w:r>
      <w:r>
        <w:t>”</w:t>
      </w:r>
      <w:r>
        <w:rPr>
          <w:rFonts w:hint="eastAsia" w:cs="仿宋_GB2312"/>
        </w:rPr>
        <w:t>腐败问题专项整治，运用</w:t>
      </w:r>
      <w:r>
        <w:t>“</w:t>
      </w:r>
      <w:r>
        <w:rPr>
          <w:rFonts w:hint="eastAsia" w:cs="仿宋_GB2312"/>
        </w:rPr>
        <w:t>互联网</w:t>
      </w:r>
      <w:r>
        <w:t>+</w:t>
      </w:r>
      <w:r>
        <w:rPr>
          <w:rFonts w:hint="eastAsia" w:cs="仿宋_GB2312"/>
        </w:rPr>
        <w:t>监督</w:t>
      </w:r>
      <w:r>
        <w:t>”</w:t>
      </w:r>
      <w:r>
        <w:rPr>
          <w:rFonts w:hint="eastAsia" w:cs="仿宋_GB2312"/>
        </w:rPr>
        <w:t>平台公布民政资金项目，严惩发生在群众身边的腐败行为。完善日常廉洁监督机制，加强民政行风建设，深入开展政治巡察，构建风清气正政治生态。</w:t>
      </w:r>
    </w:p>
    <w:p w14:paraId="16CAE5B5">
      <w:pPr>
        <w:spacing w:line="580" w:lineRule="exact"/>
        <w:ind w:firstLine="630"/>
        <w:rPr>
          <w:rFonts w:eastAsia="黑体"/>
        </w:rPr>
      </w:pPr>
      <w:r>
        <w:rPr>
          <w:rFonts w:hint="eastAsia" w:eastAsia="黑体" w:cs="黑体"/>
        </w:rPr>
        <w:t>二、坚决打赢脱贫攻坚战</w:t>
      </w:r>
    </w:p>
    <w:p w14:paraId="4B828374">
      <w:pPr>
        <w:spacing w:line="580" w:lineRule="exact"/>
        <w:ind w:firstLine="643" w:firstLineChars="200"/>
      </w:pPr>
      <w:r>
        <w:rPr>
          <w:rFonts w:eastAsia="楷体"/>
          <w:b/>
          <w:bCs/>
        </w:rPr>
        <w:t>7</w:t>
      </w:r>
      <w:r>
        <w:rPr>
          <w:rFonts w:hint="eastAsia" w:hAnsi="楷体" w:eastAsia="楷体" w:cs="楷体"/>
          <w:b/>
          <w:bCs/>
        </w:rPr>
        <w:t>、加强社会救助兜底保障。</w:t>
      </w:r>
      <w:r>
        <w:rPr>
          <w:rFonts w:hint="eastAsia" w:cs="仿宋_GB2312"/>
        </w:rPr>
        <w:t>深入开展调查研究，全面掌握兜底对象致贫原因、主要困难、实际需求，加强兜底保障对象精准认定、精准分类、精准标识，完善档案管理，实现一户一档。制定兜底保障对象救助和帮扶意见办法，根据主要致贫原因和存在的主要困难，明确帮扶牵头和配合部门，因户施策、因人施策，建立长效机制。</w:t>
      </w:r>
    </w:p>
    <w:p w14:paraId="19C341CF">
      <w:pPr>
        <w:spacing w:line="580" w:lineRule="exact"/>
        <w:ind w:firstLine="643" w:firstLineChars="200"/>
      </w:pPr>
      <w:r>
        <w:rPr>
          <w:rFonts w:eastAsia="楷体"/>
          <w:b/>
          <w:bCs/>
        </w:rPr>
        <w:t>8</w:t>
      </w:r>
      <w:r>
        <w:rPr>
          <w:rFonts w:hint="eastAsia" w:eastAsia="楷体" w:cs="楷体"/>
          <w:b/>
          <w:bCs/>
        </w:rPr>
        <w:t>、强化民政资源整合。</w:t>
      </w:r>
      <w:r>
        <w:rPr>
          <w:rFonts w:hint="eastAsia" w:cs="仿宋_GB2312"/>
        </w:rPr>
        <w:t>发挥老促会桥梁纽带作用，深入挖掘湖湘红色文化，大力弘扬老区革命精神，统筹推进老区扶贫、罗霄山片区扶贫、驻村扶贫工作，民政资金重点向深度贫困县倾斜，并减少重点项目配套资金比例，不断改善深度贫困县民政公共服务设施。</w:t>
      </w:r>
    </w:p>
    <w:p w14:paraId="73DE9911">
      <w:pPr>
        <w:spacing w:line="580" w:lineRule="exact"/>
        <w:ind w:firstLine="643" w:firstLineChars="200"/>
      </w:pPr>
      <w:r>
        <w:rPr>
          <w:rFonts w:eastAsia="楷体"/>
          <w:b/>
          <w:bCs/>
        </w:rPr>
        <w:t>9</w:t>
      </w:r>
      <w:r>
        <w:rPr>
          <w:rFonts w:hint="eastAsia" w:eastAsia="楷体" w:cs="楷体"/>
          <w:b/>
          <w:bCs/>
        </w:rPr>
        <w:t>、强化社会动员。</w:t>
      </w:r>
      <w:r>
        <w:rPr>
          <w:rFonts w:hint="eastAsia" w:cs="仿宋_GB2312"/>
        </w:rPr>
        <w:t>深化社会力量</w:t>
      </w:r>
      <w:r>
        <w:t>“</w:t>
      </w:r>
      <w:r>
        <w:rPr>
          <w:rFonts w:hint="eastAsia" w:cs="仿宋_GB2312"/>
        </w:rPr>
        <w:t>万千万</w:t>
      </w:r>
      <w:r>
        <w:t>”</w:t>
      </w:r>
      <w:r>
        <w:rPr>
          <w:rFonts w:hint="eastAsia" w:cs="仿宋_GB2312"/>
        </w:rPr>
        <w:t>扶贫工程，组织实施</w:t>
      </w:r>
      <w:r>
        <w:t>“</w:t>
      </w:r>
      <w:r>
        <w:rPr>
          <w:rFonts w:hint="eastAsia" w:cs="仿宋_GB2312"/>
        </w:rPr>
        <w:t>福彩圆梦</w:t>
      </w:r>
      <w:r>
        <w:rPr/>
        <w:sym w:font="Wingdings 2" w:char="F095"/>
      </w:r>
      <w:r>
        <w:rPr>
          <w:rFonts w:hint="eastAsia" w:cs="仿宋_GB2312"/>
        </w:rPr>
        <w:t>福泽潇湘</w:t>
      </w:r>
      <w:r>
        <w:t>”“</w:t>
      </w:r>
      <w:r>
        <w:rPr>
          <w:rFonts w:hint="eastAsia" w:cs="仿宋_GB2312"/>
        </w:rPr>
        <w:t>爱心改变命运</w:t>
      </w:r>
      <w:r>
        <w:t>”“</w:t>
      </w:r>
      <w:r>
        <w:rPr>
          <w:rFonts w:hint="eastAsia" w:cs="仿宋_GB2312"/>
        </w:rPr>
        <w:t>迎新春、送温暖、献爱心</w:t>
      </w:r>
      <w:r>
        <w:t>”</w:t>
      </w:r>
      <w:r>
        <w:rPr>
          <w:rFonts w:hint="eastAsia" w:cs="仿宋_GB2312"/>
        </w:rPr>
        <w:t>等大型公益活动，落实农村建档立卡贫困人口慈善医疗救助政策，引导社会组织、专业社工、志愿者参与精准扶贫。</w:t>
      </w:r>
    </w:p>
    <w:p w14:paraId="449734DC">
      <w:pPr>
        <w:spacing w:line="580" w:lineRule="exact"/>
        <w:ind w:firstLine="643" w:firstLineChars="200"/>
      </w:pPr>
      <w:r>
        <w:rPr>
          <w:rFonts w:eastAsia="楷体"/>
          <w:b/>
          <w:bCs/>
        </w:rPr>
        <w:t>10</w:t>
      </w:r>
      <w:r>
        <w:rPr>
          <w:rFonts w:hint="eastAsia" w:hAnsi="楷体" w:eastAsia="楷体" w:cs="楷体"/>
          <w:b/>
          <w:bCs/>
        </w:rPr>
        <w:t>、抓好脱贫攻坚常态化联点督查。</w:t>
      </w:r>
      <w:r>
        <w:rPr>
          <w:rFonts w:hint="eastAsia" w:cs="仿宋_GB2312"/>
        </w:rPr>
        <w:t>继续对桑植县和临澧县开展脱贫攻坚常态化联点督查，对</w:t>
      </w:r>
      <w:r>
        <w:t>2019</w:t>
      </w:r>
      <w:r>
        <w:rPr>
          <w:rFonts w:hint="eastAsia" w:cs="仿宋_GB2312"/>
        </w:rPr>
        <w:t>年计划脱贫的贫困村重点督查全覆盖，兼顾督查其他贫困村，适当抽查部分非贫困村。继续开展</w:t>
      </w:r>
      <w:r>
        <w:t>“</w:t>
      </w:r>
      <w:r>
        <w:rPr>
          <w:rFonts w:hint="eastAsia" w:cs="仿宋_GB2312"/>
        </w:rPr>
        <w:t>抓党建促脱贫攻坚</w:t>
      </w:r>
      <w:r>
        <w:t>”</w:t>
      </w:r>
      <w:r>
        <w:rPr>
          <w:rFonts w:hint="eastAsia" w:cs="仿宋_GB2312"/>
        </w:rPr>
        <w:t>活动，结合帮扶活动开展联点督查。</w:t>
      </w:r>
    </w:p>
    <w:p w14:paraId="170F5E72">
      <w:pPr>
        <w:spacing w:line="580" w:lineRule="exact"/>
        <w:ind w:firstLine="630"/>
        <w:rPr>
          <w:rFonts w:eastAsia="黑体"/>
        </w:rPr>
      </w:pPr>
      <w:r>
        <w:rPr>
          <w:rFonts w:hint="eastAsia" w:eastAsia="黑体" w:cs="黑体"/>
        </w:rPr>
        <w:t>三、保障好困难群众基本生活</w:t>
      </w:r>
    </w:p>
    <w:p w14:paraId="0A064901">
      <w:pPr>
        <w:spacing w:line="580" w:lineRule="exact"/>
        <w:ind w:firstLine="643" w:firstLineChars="200"/>
      </w:pPr>
      <w:r>
        <w:rPr>
          <w:rFonts w:eastAsia="楷体"/>
          <w:b/>
          <w:bCs/>
        </w:rPr>
        <w:t>11</w:t>
      </w:r>
      <w:r>
        <w:rPr>
          <w:rFonts w:hint="eastAsia" w:hAnsi="楷体" w:eastAsia="楷体" w:cs="楷体"/>
          <w:b/>
          <w:bCs/>
        </w:rPr>
        <w:t>、落实重点民生实事。</w:t>
      </w:r>
      <w:r>
        <w:rPr>
          <w:rFonts w:hint="eastAsia" w:cs="仿宋_GB2312"/>
        </w:rPr>
        <w:t>根据省政府安排，</w:t>
      </w:r>
      <w:r>
        <w:t>2019</w:t>
      </w:r>
      <w:r>
        <w:rPr>
          <w:rFonts w:hint="eastAsia" w:cs="仿宋_GB2312"/>
        </w:rPr>
        <w:t>年全省农村低保标准不得低于</w:t>
      </w:r>
      <w:r>
        <w:t>3480</w:t>
      </w:r>
      <w:r>
        <w:rPr>
          <w:rFonts w:hint="eastAsia" w:cs="仿宋_GB2312"/>
        </w:rPr>
        <w:t>元</w:t>
      </w:r>
      <w:r>
        <w:t>/</w:t>
      </w:r>
      <w:r>
        <w:rPr>
          <w:rFonts w:hint="eastAsia" w:cs="仿宋_GB2312"/>
        </w:rPr>
        <w:t>年，月人均救助不得低于</w:t>
      </w:r>
      <w:r>
        <w:t>185</w:t>
      </w:r>
      <w:r>
        <w:rPr>
          <w:rFonts w:hint="eastAsia" w:cs="仿宋_GB2312"/>
        </w:rPr>
        <w:t>元；困难残疾人生活补贴和重度残疾人护理补贴标准不低于每人每月</w:t>
      </w:r>
      <w:r>
        <w:t>60</w:t>
      </w:r>
      <w:r>
        <w:rPr>
          <w:rFonts w:hint="eastAsia" w:cs="仿宋_GB2312"/>
        </w:rPr>
        <w:t>元。指导各地主动对标，制定实施方案，严格按政策要求，建立资金分担机制，确保困难群众基本生活保障经费只增不减、足额保障。统筹提高城市低保标准和月人均救助水平。</w:t>
      </w:r>
    </w:p>
    <w:p w14:paraId="5D9CC82D">
      <w:pPr>
        <w:spacing w:line="580" w:lineRule="exact"/>
        <w:ind w:firstLine="643" w:firstLineChars="200"/>
      </w:pPr>
      <w:r>
        <w:rPr>
          <w:rFonts w:eastAsia="楷体"/>
          <w:b/>
          <w:bCs/>
        </w:rPr>
        <w:t>12</w:t>
      </w:r>
      <w:r>
        <w:rPr>
          <w:rFonts w:hint="eastAsia" w:hAnsi="楷体" w:eastAsia="楷体" w:cs="楷体"/>
          <w:b/>
          <w:bCs/>
        </w:rPr>
        <w:t>、完善专项救助制度。</w:t>
      </w:r>
      <w:r>
        <w:rPr>
          <w:rFonts w:hint="eastAsia" w:cs="仿宋_GB2312"/>
        </w:rPr>
        <w:t>制定低保家庭经济状况核查省级指导意见，明确核算范围和计算方法，加强低保家庭经济状况核查核对工作，落实刚性支出和必要的就业成本适当扣减等政策规定，把所有符合条件的困难群众全部纳入低保范围。完善和优化临时救助政策，落实</w:t>
      </w:r>
      <w:r>
        <w:t>“</w:t>
      </w:r>
      <w:r>
        <w:rPr>
          <w:rFonts w:hint="eastAsia" w:cs="仿宋_GB2312"/>
        </w:rPr>
        <w:t>分级审批</w:t>
      </w:r>
      <w:r>
        <w:t>”“</w:t>
      </w:r>
      <w:r>
        <w:rPr>
          <w:rFonts w:hint="eastAsia" w:cs="仿宋_GB2312"/>
        </w:rPr>
        <w:t>先行救助</w:t>
      </w:r>
      <w:r>
        <w:t>”</w:t>
      </w:r>
      <w:r>
        <w:rPr>
          <w:rFonts w:hint="eastAsia" w:cs="仿宋_GB2312"/>
        </w:rPr>
        <w:t>等规定，有序开展</w:t>
      </w:r>
      <w:r>
        <w:t>“</w:t>
      </w:r>
      <w:r>
        <w:rPr>
          <w:rFonts w:hint="eastAsia" w:cs="仿宋_GB2312"/>
        </w:rPr>
        <w:t>救急难</w:t>
      </w:r>
      <w:r>
        <w:t>”</w:t>
      </w:r>
      <w:r>
        <w:rPr>
          <w:rFonts w:hint="eastAsia" w:cs="仿宋_GB2312"/>
        </w:rPr>
        <w:t>工作。开展区域性中心敬老院和照料护理区建设，全面开展敬老院服务质量建设专项行动，不断提高特困人员救助供养水平，全省生活不能自理特困人员集中供养率提高到</w:t>
      </w:r>
      <w:r>
        <w:t>40%</w:t>
      </w:r>
      <w:r>
        <w:rPr>
          <w:rFonts w:hint="eastAsia" w:cs="仿宋_GB2312"/>
        </w:rPr>
        <w:t>。</w:t>
      </w:r>
    </w:p>
    <w:p w14:paraId="6511EDB4">
      <w:pPr>
        <w:spacing w:line="580" w:lineRule="exact"/>
        <w:ind w:firstLine="643" w:firstLineChars="200"/>
      </w:pPr>
      <w:r>
        <w:rPr>
          <w:rFonts w:eastAsia="楷体"/>
          <w:b/>
          <w:bCs/>
        </w:rPr>
        <w:t>13</w:t>
      </w:r>
      <w:r>
        <w:rPr>
          <w:rFonts w:hint="eastAsia" w:eastAsia="楷体" w:cs="楷体"/>
          <w:b/>
          <w:bCs/>
        </w:rPr>
        <w:t>、加强社会救助规范化信息化管理。</w:t>
      </w:r>
      <w:r>
        <w:rPr>
          <w:rFonts w:hint="eastAsia" w:cs="仿宋_GB2312"/>
        </w:rPr>
        <w:t>健全社会救助部门协调机制，发挥好县级困难群众基本生活保障工作协调机制作用。深化农村低保腐败和作风问题专项治理，建立健全社会救助监督检查长效机制。开展困难群众救助工作绩效评价，推进督促整改。改造升级省级社会救助管理信息系统，实现社会救助业务全流程信息化管理。加强与各部门业务信息管理系统的信息共享和数据比对。</w:t>
      </w:r>
    </w:p>
    <w:p w14:paraId="0D155914">
      <w:pPr>
        <w:autoSpaceDE w:val="0"/>
        <w:autoSpaceDN w:val="0"/>
        <w:adjustRightInd w:val="0"/>
        <w:spacing w:line="580" w:lineRule="exact"/>
        <w:ind w:firstLine="640" w:firstLineChars="200"/>
        <w:jc w:val="left"/>
        <w:rPr>
          <w:rFonts w:eastAsia="黑体"/>
        </w:rPr>
      </w:pPr>
      <w:r>
        <w:rPr>
          <w:rFonts w:hint="eastAsia" w:hAnsi="黑体" w:eastAsia="黑体" w:cs="黑体"/>
        </w:rPr>
        <w:t>四、加快养老服务体系建设</w:t>
      </w:r>
    </w:p>
    <w:p w14:paraId="6A658AAD">
      <w:pPr>
        <w:autoSpaceDE w:val="0"/>
        <w:autoSpaceDN w:val="0"/>
        <w:adjustRightInd w:val="0"/>
        <w:spacing w:line="580" w:lineRule="exact"/>
        <w:ind w:firstLine="643" w:firstLineChars="200"/>
        <w:jc w:val="left"/>
      </w:pPr>
      <w:r>
        <w:rPr>
          <w:rFonts w:eastAsia="楷体"/>
          <w:b/>
          <w:bCs/>
        </w:rPr>
        <w:t>14</w:t>
      </w:r>
      <w:r>
        <w:rPr>
          <w:rFonts w:hint="eastAsia" w:hAnsi="楷体" w:eastAsia="楷体" w:cs="楷体"/>
          <w:b/>
          <w:bCs/>
        </w:rPr>
        <w:t>、放开养老服务市场。</w:t>
      </w:r>
      <w:r>
        <w:rPr>
          <w:rFonts w:hint="eastAsia" w:cs="仿宋_GB2312"/>
        </w:rPr>
        <w:t>落实国务院办公厅关于发展养老服务政策文件，进一步破解养老服务</w:t>
      </w:r>
      <w:r>
        <w:t>“</w:t>
      </w:r>
      <w:r>
        <w:rPr>
          <w:rFonts w:hint="eastAsia" w:cs="仿宋_GB2312"/>
        </w:rPr>
        <w:t>堵点</w:t>
      </w:r>
      <w:r>
        <w:t>”“</w:t>
      </w:r>
      <w:r>
        <w:rPr>
          <w:rFonts w:hint="eastAsia" w:cs="仿宋_GB2312"/>
        </w:rPr>
        <w:t>难点</w:t>
      </w:r>
      <w:r>
        <w:t>”</w:t>
      </w:r>
      <w:r>
        <w:rPr>
          <w:rFonts w:hint="eastAsia" w:cs="仿宋_GB2312"/>
        </w:rPr>
        <w:t>。贯彻落实《老年人权益保障法》及我省实施办法，健全完善养老服务补贴等相关工作机制。深化</w:t>
      </w:r>
      <w:r>
        <w:t>“</w:t>
      </w:r>
      <w:r>
        <w:rPr>
          <w:rFonts w:hint="eastAsia" w:cs="仿宋_GB2312"/>
        </w:rPr>
        <w:t>放管服</w:t>
      </w:r>
      <w:r>
        <w:t>”</w:t>
      </w:r>
      <w:r>
        <w:rPr>
          <w:rFonts w:hint="eastAsia" w:cs="仿宋_GB2312"/>
        </w:rPr>
        <w:t>改革，取消养老机构设立许可，持续推动公办养老机构改革试点工作。</w:t>
      </w:r>
    </w:p>
    <w:p w14:paraId="4F7430F3">
      <w:pPr>
        <w:autoSpaceDE w:val="0"/>
        <w:autoSpaceDN w:val="0"/>
        <w:adjustRightInd w:val="0"/>
        <w:spacing w:line="580" w:lineRule="exact"/>
        <w:ind w:firstLine="630" w:firstLineChars="196"/>
        <w:jc w:val="left"/>
        <w:rPr>
          <w:rFonts w:eastAsia="仿宋"/>
        </w:rPr>
      </w:pPr>
      <w:r>
        <w:rPr>
          <w:rFonts w:eastAsia="楷体"/>
          <w:b/>
          <w:bCs/>
        </w:rPr>
        <w:t>15</w:t>
      </w:r>
      <w:r>
        <w:rPr>
          <w:rFonts w:hint="eastAsia" w:hAnsi="楷体" w:eastAsia="楷体" w:cs="楷体"/>
          <w:b/>
          <w:bCs/>
        </w:rPr>
        <w:t>、完善养老服务体系。</w:t>
      </w:r>
      <w:r>
        <w:rPr>
          <w:rFonts w:hint="eastAsia" w:cs="仿宋_GB2312"/>
        </w:rPr>
        <w:t>持续推进养老服务试点工作，指导推进居家和社区养老服务改革试点示范工作，完善社区居家养老服务设施，增加养老服务供给，加大养老服务品牌培育，加强养老服务信息平台建设。持续开展农村养老服务体系建设试点工作，支持公办养老机构新建和改扩建，每千名老人拥有养老床位要达到</w:t>
      </w:r>
      <w:r>
        <w:t>36.5</w:t>
      </w:r>
      <w:r>
        <w:rPr>
          <w:rFonts w:hint="eastAsia" w:cs="仿宋_GB2312"/>
        </w:rPr>
        <w:t>张。牵头协调做好农村留守老人关爱服务工作，完善农村留守老人信息台账，全面建立农村留守老人巡访制度。</w:t>
      </w:r>
    </w:p>
    <w:p w14:paraId="541D572B">
      <w:pPr>
        <w:autoSpaceDE w:val="0"/>
        <w:autoSpaceDN w:val="0"/>
        <w:adjustRightInd w:val="0"/>
        <w:spacing w:line="580" w:lineRule="exact"/>
        <w:ind w:firstLine="630" w:firstLineChars="196"/>
        <w:jc w:val="left"/>
      </w:pPr>
      <w:r>
        <w:rPr>
          <w:rFonts w:eastAsia="楷体"/>
          <w:b/>
          <w:bCs/>
        </w:rPr>
        <w:t>16</w:t>
      </w:r>
      <w:r>
        <w:rPr>
          <w:rFonts w:hint="eastAsia" w:hAnsi="楷体" w:eastAsia="楷体" w:cs="楷体"/>
          <w:b/>
          <w:bCs/>
        </w:rPr>
        <w:t>、提升养老服务质量。</w:t>
      </w:r>
      <w:r>
        <w:rPr>
          <w:rFonts w:hint="eastAsia" w:cs="仿宋_GB2312"/>
        </w:rPr>
        <w:t>深化养老院服务质量建设专项行动，督促养老机构抓好服务质量标准建设工作，开展养老机构星级评定和老年人能力评估工作。实施养老机构提质改造和消防设施改造工程。加强养老服务机构监管，推进养老服务领域社会信用体系建设，建立健全失信联合惩戒机制。</w:t>
      </w:r>
    </w:p>
    <w:p w14:paraId="17781CDA">
      <w:pPr>
        <w:spacing w:line="580" w:lineRule="exact"/>
        <w:ind w:firstLine="630" w:firstLineChars="196"/>
      </w:pPr>
      <w:r>
        <w:rPr>
          <w:rFonts w:eastAsia="楷体"/>
          <w:b/>
          <w:bCs/>
        </w:rPr>
        <w:t>17</w:t>
      </w:r>
      <w:r>
        <w:rPr>
          <w:rFonts w:hint="eastAsia" w:hAnsi="楷体" w:eastAsia="楷体" w:cs="楷体"/>
          <w:b/>
          <w:bCs/>
        </w:rPr>
        <w:t>、加强养老服务人才队伍建设。</w:t>
      </w:r>
      <w:r>
        <w:rPr>
          <w:rFonts w:hint="eastAsia" w:cs="仿宋_GB2312"/>
        </w:rPr>
        <w:t>建立健全省市县民政部门和养老机构多级多层次培训体系，举办第二届全省养老护理员技能大赛，开展养老护理员远程培训。</w:t>
      </w:r>
    </w:p>
    <w:p w14:paraId="1F9307DD">
      <w:pPr>
        <w:spacing w:line="580" w:lineRule="exact"/>
        <w:ind w:firstLine="630"/>
        <w:rPr>
          <w:rFonts w:eastAsia="黑体"/>
        </w:rPr>
      </w:pPr>
      <w:r>
        <w:rPr>
          <w:rFonts w:hint="eastAsia" w:eastAsia="黑体" w:cs="黑体"/>
        </w:rPr>
        <w:t>五、全面提升儿童福利水平</w:t>
      </w:r>
    </w:p>
    <w:p w14:paraId="2C295D77">
      <w:pPr>
        <w:spacing w:line="580" w:lineRule="exact"/>
        <w:ind w:firstLine="643" w:firstLineChars="200"/>
      </w:pPr>
      <w:r>
        <w:rPr>
          <w:rFonts w:eastAsia="楷体"/>
          <w:b/>
          <w:bCs/>
        </w:rPr>
        <w:t>18</w:t>
      </w:r>
      <w:r>
        <w:rPr>
          <w:rFonts w:hint="eastAsia" w:eastAsia="楷体" w:cs="楷体"/>
          <w:b/>
          <w:bCs/>
        </w:rPr>
        <w:t>、加强困境儿童保障和农村留守儿童关爱保护。</w:t>
      </w:r>
      <w:r>
        <w:rPr>
          <w:rFonts w:hint="eastAsia" w:cs="仿宋_GB2312"/>
        </w:rPr>
        <w:t>健全各级农村留守儿童和困境儿童领导协调机制。落实困境儿童分类保障制度。开展农村留守儿童</w:t>
      </w:r>
      <w:r>
        <w:t>“</w:t>
      </w:r>
      <w:r>
        <w:rPr>
          <w:rFonts w:hint="eastAsia" w:cs="仿宋_GB2312"/>
        </w:rPr>
        <w:t>合力监护、相伴成长</w:t>
      </w:r>
      <w:r>
        <w:t>”</w:t>
      </w:r>
      <w:r>
        <w:rPr>
          <w:rFonts w:hint="eastAsia" w:cs="仿宋_GB2312"/>
        </w:rPr>
        <w:t>关爱保护专项行动，健全农村留守儿童信息台账，着重加强对无人监护、父母一方外出另一方无监护能力、失学辍学、无户籍农村留守儿童等重点对象的干预帮扶。健全基层儿童关爱保护体系，依托救助管理站设立市（县）级未成年人（农村留守儿童）关爱保护中心，</w:t>
      </w:r>
      <w:r>
        <w:t>2019</w:t>
      </w:r>
      <w:r>
        <w:rPr>
          <w:rFonts w:hint="eastAsia" w:cs="仿宋_GB2312"/>
        </w:rPr>
        <w:t>年力争在</w:t>
      </w:r>
      <w:r>
        <w:t>80%</w:t>
      </w:r>
      <w:r>
        <w:rPr>
          <w:rFonts w:hint="eastAsia" w:cs="仿宋_GB2312"/>
        </w:rPr>
        <w:t>的行政村建立</w:t>
      </w:r>
      <w:r>
        <w:t>“</w:t>
      </w:r>
      <w:r>
        <w:rPr>
          <w:rFonts w:hint="eastAsia" w:cs="仿宋_GB2312"/>
        </w:rPr>
        <w:t>儿童之家</w:t>
      </w:r>
      <w:r>
        <w:t>”</w:t>
      </w:r>
      <w:r>
        <w:rPr>
          <w:rFonts w:hint="eastAsia" w:cs="仿宋_GB2312"/>
        </w:rPr>
        <w:t>。强化监护人对农村留守儿童的监护主体责任，支持引导专业社会力量和通过政府购买服务等方式为其提供关爱服务。</w:t>
      </w:r>
    </w:p>
    <w:p w14:paraId="48E4F651">
      <w:pPr>
        <w:spacing w:line="580" w:lineRule="exact"/>
        <w:ind w:firstLine="630"/>
      </w:pPr>
      <w:r>
        <w:rPr>
          <w:rFonts w:eastAsia="楷体"/>
          <w:b/>
          <w:bCs/>
        </w:rPr>
        <w:t>19</w:t>
      </w:r>
      <w:r>
        <w:rPr>
          <w:rFonts w:hint="eastAsia" w:eastAsia="楷体" w:cs="楷体"/>
          <w:b/>
          <w:bCs/>
        </w:rPr>
        <w:t>、完善儿童福利管理制度。</w:t>
      </w:r>
      <w:r>
        <w:rPr>
          <w:rFonts w:hint="eastAsia" w:cs="仿宋_GB2312"/>
        </w:rPr>
        <w:t>全面落实《儿童福利机构管理办法》《儿童福利机构档案管理办法》，认真整改孤弃儿童大排查工作中发现的问题和风险隐患。全面落实孤儿基本生活费标准，积极开展</w:t>
      </w:r>
      <w:r>
        <w:t>“</w:t>
      </w:r>
      <w:r>
        <w:rPr>
          <w:rFonts w:hint="eastAsia" w:cs="仿宋_GB2312"/>
        </w:rPr>
        <w:t>孤残儿童手术康复明天计划</w:t>
      </w:r>
      <w:r>
        <w:t>”“</w:t>
      </w:r>
      <w:r>
        <w:rPr>
          <w:rFonts w:hint="eastAsia" w:cs="仿宋_GB2312"/>
        </w:rPr>
        <w:t>福彩圆梦孤残儿童高等助学</w:t>
      </w:r>
      <w:r>
        <w:t>”</w:t>
      </w:r>
      <w:r>
        <w:rPr>
          <w:rFonts w:hint="eastAsia" w:cs="仿宋_GB2312"/>
        </w:rPr>
        <w:t>等项目。新建、改扩建一批儿童福利院，推动儿童福利机构转型发展。规范家庭寄养和收养工作。</w:t>
      </w:r>
    </w:p>
    <w:p w14:paraId="3BA9BF57">
      <w:pPr>
        <w:spacing w:line="580" w:lineRule="exact"/>
        <w:ind w:firstLine="630"/>
        <w:rPr>
          <w:rFonts w:eastAsia="黑体"/>
        </w:rPr>
      </w:pPr>
      <w:r>
        <w:rPr>
          <w:rFonts w:hint="eastAsia" w:eastAsia="黑体" w:cs="黑体"/>
        </w:rPr>
        <w:t>六、推进基层政权建设和城乡社区治理</w:t>
      </w:r>
    </w:p>
    <w:p w14:paraId="5C3DC056">
      <w:pPr>
        <w:spacing w:line="580" w:lineRule="exact"/>
        <w:ind w:firstLine="643" w:firstLineChars="200"/>
      </w:pPr>
      <w:r>
        <w:rPr>
          <w:rFonts w:eastAsia="楷体"/>
          <w:b/>
          <w:bCs/>
        </w:rPr>
        <w:t>20</w:t>
      </w:r>
      <w:r>
        <w:rPr>
          <w:rFonts w:hint="eastAsia" w:eastAsia="楷体" w:cs="楷体"/>
          <w:b/>
          <w:bCs/>
        </w:rPr>
        <w:t>、深化乡村治理三年行动。</w:t>
      </w:r>
      <w:r>
        <w:rPr>
          <w:rFonts w:hint="eastAsia" w:cs="仿宋_GB2312"/>
        </w:rPr>
        <w:t>完善村党组织领导下的村民自治组织体系，健全人民调解委员会、老年协会、红白理事会等群众性组织，协助管理农村公共事务、调解矛盾纠纷、培育文明乡风。指导规范村规民约和居民公约工作，推动全省所有村、社区普遍制定或修订形成务实管用的村规民约、居民公约，并在所辖村民小组或自然村予以公布。组织开展优秀村规民约、居民公约征集活动，全省评选、推介</w:t>
      </w:r>
      <w:r>
        <w:t>100</w:t>
      </w:r>
      <w:r>
        <w:rPr>
          <w:rFonts w:hint="eastAsia" w:cs="仿宋_GB2312"/>
        </w:rPr>
        <w:t>个优秀案例。指导浏阳市、石门县探索开展以自然村或村民小组为基本单元的村民自治试点。深入推进扫黑除恶专项斗争。巩固提升村务公开</w:t>
      </w:r>
      <w:r>
        <w:t>“</w:t>
      </w:r>
      <w:r>
        <w:rPr>
          <w:rFonts w:hint="eastAsia" w:cs="仿宋_GB2312"/>
        </w:rPr>
        <w:t>亮栏行动</w:t>
      </w:r>
      <w:r>
        <w:t>”</w:t>
      </w:r>
      <w:r>
        <w:rPr>
          <w:rFonts w:hint="eastAsia" w:cs="仿宋_GB2312"/>
        </w:rPr>
        <w:t>，做到公开全面、更新及时。举办第二期省级村（社区）干部综合素质示范培训班。</w:t>
      </w:r>
    </w:p>
    <w:p w14:paraId="1DFBFE53">
      <w:pPr>
        <w:spacing w:line="580" w:lineRule="exact"/>
        <w:ind w:firstLine="643" w:firstLineChars="200"/>
        <w:rPr>
          <w:color w:val="FF0000"/>
        </w:rPr>
      </w:pPr>
      <w:r>
        <w:rPr>
          <w:rFonts w:eastAsia="楷体"/>
          <w:b/>
          <w:bCs/>
        </w:rPr>
        <w:t>21</w:t>
      </w:r>
      <w:r>
        <w:rPr>
          <w:rFonts w:hint="eastAsia" w:eastAsia="楷体" w:cs="楷体"/>
          <w:b/>
          <w:bCs/>
        </w:rPr>
        <w:t>、提升社区治理和服务水平。</w:t>
      </w:r>
      <w:r>
        <w:rPr>
          <w:rFonts w:hint="eastAsia" w:cs="仿宋_GB2312"/>
        </w:rPr>
        <w:t>推动完善省级和市州层面城乡社区治理工作协调机制。制定关于改进和规范基层群众性自治组织出具证明政策文件。指导长沙市天心区、株洲市天元区推进全国社区治理和服务创新实验区建设。对湘潭市雨湖区等</w:t>
      </w:r>
      <w:r>
        <w:t>20</w:t>
      </w:r>
      <w:r>
        <w:rPr>
          <w:rFonts w:hint="eastAsia" w:cs="仿宋_GB2312"/>
        </w:rPr>
        <w:t>个全省城乡社区治理创新实验区开展中</w:t>
      </w:r>
      <w:bookmarkStart w:id="0" w:name="_GoBack"/>
      <w:bookmarkEnd w:id="0"/>
      <w:r>
        <w:rPr>
          <w:rFonts w:hint="eastAsia" w:cs="仿宋_GB2312"/>
        </w:rPr>
        <w:t>期评估，中期评估被评为优秀等次的再按规定给予资金支持。坚持成熟一个、认定一个，新命名一批全省城乡社区治理创新实验区。认真组织开展全国、全省优秀社区工作法征集遴选和推广应用工作。继续推进城乡社区建设示范单位创建活动，全省命名</w:t>
      </w:r>
      <w:r>
        <w:t>100</w:t>
      </w:r>
      <w:r>
        <w:rPr>
          <w:rFonts w:hint="eastAsia" w:cs="仿宋_GB2312"/>
        </w:rPr>
        <w:t>个城市和谐社区、</w:t>
      </w:r>
      <w:r>
        <w:t>200</w:t>
      </w:r>
      <w:r>
        <w:rPr>
          <w:rFonts w:hint="eastAsia" w:cs="仿宋_GB2312"/>
        </w:rPr>
        <w:t>个农村幸福社区。积极参加全国城乡社区治理创新实验区和示范单位创建活动，推荐遴选全国</w:t>
      </w:r>
      <w:r>
        <w:t>“</w:t>
      </w:r>
      <w:r>
        <w:rPr>
          <w:rFonts w:hint="eastAsia" w:cs="仿宋_GB2312"/>
        </w:rPr>
        <w:t>最美城乡社区工作者</w:t>
      </w:r>
      <w:r>
        <w:t>”</w:t>
      </w:r>
      <w:r>
        <w:rPr>
          <w:rFonts w:hint="eastAsia" w:cs="仿宋_GB2312"/>
        </w:rPr>
        <w:t>。到</w:t>
      </w:r>
      <w:r>
        <w:t>2019</w:t>
      </w:r>
      <w:r>
        <w:rPr>
          <w:rFonts w:hint="eastAsia" w:cs="仿宋_GB2312"/>
        </w:rPr>
        <w:t>年底，力争全省城乡社区综合服务设施覆盖率分别达到</w:t>
      </w:r>
      <w:r>
        <w:t>100%</w:t>
      </w:r>
      <w:r>
        <w:rPr>
          <w:rFonts w:hint="eastAsia" w:cs="仿宋_GB2312"/>
        </w:rPr>
        <w:t>和</w:t>
      </w:r>
      <w:r>
        <w:t>85%</w:t>
      </w:r>
      <w:r>
        <w:rPr>
          <w:rFonts w:hint="eastAsia" w:cs="仿宋_GB2312"/>
        </w:rPr>
        <w:t>，城乡社区公共服务综合信息平台覆盖率分别达到</w:t>
      </w:r>
      <w:r>
        <w:t>50%</w:t>
      </w:r>
      <w:r>
        <w:rPr>
          <w:rFonts w:hint="eastAsia" w:cs="仿宋_GB2312"/>
        </w:rPr>
        <w:t>和</w:t>
      </w:r>
      <w:r>
        <w:t>24%</w:t>
      </w:r>
      <w:r>
        <w:rPr>
          <w:rFonts w:hint="eastAsia" w:cs="仿宋_GB2312"/>
        </w:rPr>
        <w:t>。</w:t>
      </w:r>
    </w:p>
    <w:p w14:paraId="7563926C">
      <w:pPr>
        <w:spacing w:line="580" w:lineRule="exact"/>
        <w:ind w:firstLine="643" w:firstLineChars="200"/>
      </w:pPr>
      <w:r>
        <w:rPr>
          <w:rFonts w:eastAsia="楷体"/>
          <w:b/>
          <w:bCs/>
        </w:rPr>
        <w:t>22</w:t>
      </w:r>
      <w:r>
        <w:rPr>
          <w:rFonts w:hint="eastAsia" w:eastAsia="楷体" w:cs="楷体"/>
          <w:b/>
          <w:bCs/>
        </w:rPr>
        <w:t>、推进乡镇（街道）服务管理创新。</w:t>
      </w:r>
      <w:r>
        <w:rPr>
          <w:rFonts w:hint="eastAsia" w:cs="仿宋_GB2312"/>
        </w:rPr>
        <w:t>继续推动市州、县市区制定和实施关于加强乡镇政府服务能力建设的政策文件，牵头有关部门完善乡村治理财力保障和政策支持。争取财政资金支持，推动乡镇（街道）建立和完善服务大厅，实现政府公共服务</w:t>
      </w:r>
      <w:r>
        <w:t>“</w:t>
      </w:r>
      <w:r>
        <w:rPr>
          <w:rFonts w:hint="eastAsia" w:cs="仿宋_GB2312"/>
        </w:rPr>
        <w:t>一站式</w:t>
      </w:r>
      <w:r>
        <w:t>”</w:t>
      </w:r>
      <w:r>
        <w:rPr>
          <w:rFonts w:hint="eastAsia" w:cs="仿宋_GB2312"/>
        </w:rPr>
        <w:t>办理。总结推广各地加强乡镇（街道）建设的经验做法。积极参加全国街道服务管理创新实验区创建活动。</w:t>
      </w:r>
    </w:p>
    <w:p w14:paraId="71F4C978">
      <w:pPr>
        <w:spacing w:line="580" w:lineRule="exact"/>
        <w:ind w:firstLine="630"/>
        <w:rPr>
          <w:rFonts w:eastAsia="黑体"/>
        </w:rPr>
      </w:pPr>
      <w:r>
        <w:rPr>
          <w:rFonts w:hint="eastAsia" w:eastAsia="黑体" w:cs="黑体"/>
        </w:rPr>
        <w:t>七、引导社会组织健康有序发展</w:t>
      </w:r>
    </w:p>
    <w:p w14:paraId="3B50E4AB">
      <w:pPr>
        <w:spacing w:line="580" w:lineRule="exact"/>
        <w:ind w:firstLine="643" w:firstLineChars="200"/>
      </w:pPr>
      <w:r>
        <w:rPr>
          <w:rFonts w:eastAsia="楷体"/>
          <w:b/>
          <w:bCs/>
        </w:rPr>
        <w:t>23</w:t>
      </w:r>
      <w:r>
        <w:rPr>
          <w:rFonts w:hint="eastAsia" w:eastAsia="楷体" w:cs="楷体"/>
          <w:b/>
          <w:bCs/>
        </w:rPr>
        <w:t>、深化社会组织管理改革。</w:t>
      </w:r>
      <w:r>
        <w:rPr>
          <w:rFonts w:hint="eastAsia" w:cs="仿宋_GB2312"/>
        </w:rPr>
        <w:t>推动健全社会组织工作协调机制，继续做好行业协会商会与行政机关脱钩工作。指导地方开展宗教活动场所法人登记。规范慈善组织登记管理，贯彻落实《民政部关于进一步加强和改进社会服务机构登记管理工作的实施意见》，进一步加强社会组织管理信息化建设。</w:t>
      </w:r>
    </w:p>
    <w:p w14:paraId="682841DB">
      <w:pPr>
        <w:spacing w:line="580" w:lineRule="exact"/>
        <w:ind w:firstLine="643" w:firstLineChars="200"/>
      </w:pPr>
      <w:r>
        <w:rPr>
          <w:rFonts w:eastAsia="楷体"/>
          <w:b/>
          <w:bCs/>
        </w:rPr>
        <w:t>24</w:t>
      </w:r>
      <w:r>
        <w:rPr>
          <w:rFonts w:hint="eastAsia" w:eastAsia="楷体" w:cs="楷体"/>
          <w:b/>
          <w:bCs/>
        </w:rPr>
        <w:t>、加强社会组织示范创建。</w:t>
      </w:r>
      <w:r>
        <w:rPr>
          <w:rFonts w:hint="eastAsia" w:cs="仿宋_GB2312"/>
        </w:rPr>
        <w:t>实施社会组织</w:t>
      </w:r>
      <w:r>
        <w:t>“</w:t>
      </w:r>
      <w:r>
        <w:rPr>
          <w:rFonts w:hint="eastAsia" w:cs="仿宋_GB2312"/>
        </w:rPr>
        <w:t>十百千</w:t>
      </w:r>
      <w:r>
        <w:t>”</w:t>
      </w:r>
      <w:r>
        <w:rPr>
          <w:rFonts w:hint="eastAsia" w:cs="仿宋_GB2312"/>
        </w:rPr>
        <w:t>工程，打造一批示范性社会组织。加强社会组织孵化基地建设，健全政府购买服务制度，推动落实社会组织有关税收优惠政策，强化交流培训，加强社会组织领军型人才队伍建设，每万人拥有社会组织达到</w:t>
      </w:r>
      <w:r>
        <w:t>5.9</w:t>
      </w:r>
      <w:r>
        <w:rPr>
          <w:rFonts w:hint="eastAsia" w:cs="仿宋_GB2312"/>
        </w:rPr>
        <w:t>个。</w:t>
      </w:r>
    </w:p>
    <w:p w14:paraId="2A822B37">
      <w:pPr>
        <w:spacing w:line="580" w:lineRule="exact"/>
        <w:ind w:firstLine="643" w:firstLineChars="200"/>
      </w:pPr>
      <w:r>
        <w:rPr>
          <w:rFonts w:eastAsia="楷体"/>
          <w:b/>
          <w:bCs/>
        </w:rPr>
        <w:t>25</w:t>
      </w:r>
      <w:r>
        <w:rPr>
          <w:rFonts w:hint="eastAsia" w:eastAsia="楷体" w:cs="楷体"/>
          <w:b/>
          <w:bCs/>
        </w:rPr>
        <w:t>、强化社会组织综合监管。</w:t>
      </w:r>
      <w:r>
        <w:rPr>
          <w:rFonts w:hint="eastAsia" w:cs="仿宋_GB2312"/>
        </w:rPr>
        <w:t>完善社会组织年度检查办法，加大社会组织抽查力度，健全社会组织第三方评估机制，强化社会组织信用监管，配合有关部门深入开展涉企收费专项治理工作，加大社会组织执法力度，严厉打击非法社会组织和社会组织违法行为，定期公布社会组织活动异常名录和严重违法失信名录。</w:t>
      </w:r>
    </w:p>
    <w:p w14:paraId="0669DAD4">
      <w:pPr>
        <w:spacing w:line="580" w:lineRule="exact"/>
        <w:ind w:firstLine="643" w:firstLineChars="200"/>
      </w:pPr>
      <w:r>
        <w:rPr>
          <w:rFonts w:eastAsia="楷体"/>
          <w:b/>
          <w:bCs/>
        </w:rPr>
        <w:t>26</w:t>
      </w:r>
      <w:r>
        <w:rPr>
          <w:rFonts w:hint="eastAsia" w:eastAsia="楷体" w:cs="楷体"/>
          <w:b/>
          <w:bCs/>
        </w:rPr>
        <w:t>、创新社会组织党建工作。</w:t>
      </w:r>
      <w:r>
        <w:rPr>
          <w:rFonts w:hint="eastAsia" w:cs="仿宋_GB2312"/>
        </w:rPr>
        <w:t>加强社会组织党组织规范化、制度化建设，加大党建工作指导员派驻力度，扩大党的组织和工作覆盖。规范社会组织党建服务中心运营，强化社会组织党组织书记培训，打造省本级</w:t>
      </w:r>
      <w:r>
        <w:t>20</w:t>
      </w:r>
      <w:r>
        <w:rPr>
          <w:rFonts w:hint="eastAsia" w:cs="仿宋_GB2312"/>
        </w:rPr>
        <w:t>个社会组织党组织示范点。</w:t>
      </w:r>
    </w:p>
    <w:p w14:paraId="7195B53E">
      <w:pPr>
        <w:spacing w:line="580" w:lineRule="exact"/>
        <w:ind w:firstLine="630"/>
        <w:rPr>
          <w:rFonts w:eastAsia="黑体"/>
        </w:rPr>
      </w:pPr>
      <w:r>
        <w:rPr>
          <w:rFonts w:hint="eastAsia" w:eastAsia="黑体" w:cs="黑体"/>
        </w:rPr>
        <w:t>八、稳妥推进区划地名管理工作</w:t>
      </w:r>
    </w:p>
    <w:p w14:paraId="5247A632">
      <w:pPr>
        <w:spacing w:line="580" w:lineRule="exact"/>
        <w:ind w:firstLine="643" w:firstLineChars="200"/>
        <w:rPr>
          <w:kern w:val="0"/>
        </w:rPr>
      </w:pPr>
      <w:r>
        <w:rPr>
          <w:rFonts w:eastAsia="黑体"/>
          <w:b/>
          <w:bCs/>
          <w:kern w:val="0"/>
        </w:rPr>
        <w:t>27</w:t>
      </w:r>
      <w:r>
        <w:rPr>
          <w:rFonts w:hint="eastAsia" w:eastAsia="黑体" w:cs="黑体"/>
          <w:b/>
          <w:bCs/>
          <w:kern w:val="0"/>
        </w:rPr>
        <w:t>、</w:t>
      </w:r>
      <w:r>
        <w:rPr>
          <w:rFonts w:hint="eastAsia" w:eastAsia="楷体" w:cs="楷体"/>
          <w:b/>
          <w:bCs/>
        </w:rPr>
        <w:t>提升区划管理规范化水平。</w:t>
      </w:r>
      <w:r>
        <w:rPr>
          <w:rFonts w:hint="eastAsia" w:cs="仿宋_GB2312"/>
          <w:kern w:val="0"/>
        </w:rPr>
        <w:t>学习、宣传和贯彻《行政区划管理条例》。坚持在党的领导下，稳妥有序推进县级以上行政区划调整事项。制定撤乡设镇标准，指导各地按照</w:t>
      </w:r>
      <w:r>
        <w:rPr>
          <w:kern w:val="0"/>
        </w:rPr>
        <w:t>“</w:t>
      </w:r>
      <w:r>
        <w:rPr>
          <w:rFonts w:hint="eastAsia" w:cs="仿宋_GB2312"/>
          <w:kern w:val="0"/>
        </w:rPr>
        <w:t>从严从紧、稳妥慎重</w:t>
      </w:r>
      <w:r>
        <w:rPr>
          <w:kern w:val="0"/>
        </w:rPr>
        <w:t>”</w:t>
      </w:r>
      <w:r>
        <w:rPr>
          <w:rFonts w:hint="eastAsia" w:cs="仿宋_GB2312"/>
          <w:kern w:val="0"/>
        </w:rPr>
        <w:t>要求，开展街道设立和撤乡设镇报批工作。强化规划和战略研究，探索第三方评估机制。建立行政区划代码编制管理信息系统。</w:t>
      </w:r>
    </w:p>
    <w:p w14:paraId="166B3719">
      <w:pPr>
        <w:spacing w:line="580" w:lineRule="exact"/>
        <w:ind w:firstLine="643" w:firstLineChars="200"/>
        <w:rPr>
          <w:b/>
          <w:bCs/>
          <w:kern w:val="0"/>
        </w:rPr>
      </w:pPr>
      <w:r>
        <w:rPr>
          <w:rFonts w:eastAsia="楷体"/>
          <w:b/>
          <w:bCs/>
        </w:rPr>
        <w:t>28</w:t>
      </w:r>
      <w:r>
        <w:rPr>
          <w:rFonts w:hint="eastAsia" w:eastAsia="楷体" w:cs="楷体"/>
          <w:b/>
          <w:bCs/>
        </w:rPr>
        <w:t>、加强地名管理和服务。</w:t>
      </w:r>
      <w:r>
        <w:rPr>
          <w:rFonts w:hint="eastAsia" w:cs="仿宋_GB2312"/>
          <w:kern w:val="0"/>
        </w:rPr>
        <w:t>做好全省地名普查建档、总结等工作，深化地名普查成果转化利用，编纂出版地名图录典志和地名文化等书籍，完善地名地址云服务平台，丰富地名普查成果网络展馆。深化清理整治不规范地名工作。加强地名文化保护和优秀地名文化宣传弘扬。</w:t>
      </w:r>
    </w:p>
    <w:p w14:paraId="3F4CAF5E">
      <w:pPr>
        <w:spacing w:line="580" w:lineRule="exact"/>
        <w:ind w:firstLine="643" w:firstLineChars="200"/>
        <w:rPr>
          <w:kern w:val="0"/>
        </w:rPr>
      </w:pPr>
      <w:r>
        <w:rPr>
          <w:rFonts w:eastAsia="楷体"/>
          <w:b/>
          <w:bCs/>
        </w:rPr>
        <w:t>29</w:t>
      </w:r>
      <w:r>
        <w:rPr>
          <w:rFonts w:hint="eastAsia" w:eastAsia="楷体" w:cs="楷体"/>
          <w:b/>
          <w:bCs/>
        </w:rPr>
        <w:t>、扎实开展界线管理工作。</w:t>
      </w:r>
      <w:r>
        <w:rPr>
          <w:rFonts w:hint="eastAsia" w:cs="仿宋_GB2312"/>
          <w:kern w:val="0"/>
        </w:rPr>
        <w:t>完成湘渝线及</w:t>
      </w:r>
      <w:r>
        <w:rPr>
          <w:kern w:val="0"/>
        </w:rPr>
        <w:t>5</w:t>
      </w:r>
      <w:r>
        <w:rPr>
          <w:rFonts w:hint="eastAsia" w:cs="仿宋_GB2312"/>
          <w:kern w:val="0"/>
        </w:rPr>
        <w:t>条市界、</w:t>
      </w:r>
      <w:r>
        <w:rPr>
          <w:kern w:val="0"/>
        </w:rPr>
        <w:t>43</w:t>
      </w:r>
      <w:r>
        <w:rPr>
          <w:rFonts w:hint="eastAsia" w:cs="仿宋_GB2312"/>
          <w:kern w:val="0"/>
        </w:rPr>
        <w:t>条县界的联检任务。指导各地强化界线界桩管护员业务能力建设。开展不规范界桩清理整治工作。深化平安边界建设。推进乡级政区界线勘定试点工作。探索全省行政区域界线界桩信息化管理平台建设。</w:t>
      </w:r>
    </w:p>
    <w:p w14:paraId="7FCEC113">
      <w:pPr>
        <w:spacing w:line="580" w:lineRule="exact"/>
        <w:ind w:firstLine="630"/>
        <w:rPr>
          <w:rFonts w:eastAsia="黑体"/>
        </w:rPr>
      </w:pPr>
      <w:r>
        <w:rPr>
          <w:rFonts w:hint="eastAsia" w:eastAsia="黑体" w:cs="黑体"/>
        </w:rPr>
        <w:t>九、强化残疾人权益保护和专项社会事务管理</w:t>
      </w:r>
    </w:p>
    <w:p w14:paraId="7ECFDA3E">
      <w:pPr>
        <w:spacing w:line="580" w:lineRule="exact"/>
        <w:ind w:firstLine="643" w:firstLineChars="200"/>
      </w:pPr>
      <w:r>
        <w:rPr>
          <w:rFonts w:eastAsia="楷体"/>
          <w:b/>
          <w:bCs/>
        </w:rPr>
        <w:t>30</w:t>
      </w:r>
      <w:r>
        <w:rPr>
          <w:rFonts w:hint="eastAsia" w:eastAsia="楷体" w:cs="楷体"/>
          <w:b/>
          <w:bCs/>
        </w:rPr>
        <w:t>、加快推进残疾人福利工作。</w:t>
      </w:r>
      <w:r>
        <w:rPr>
          <w:rFonts w:hint="eastAsia" w:cs="仿宋_GB2312"/>
        </w:rPr>
        <w:t>完善残疾人</w:t>
      </w:r>
      <w:r>
        <w:t>“</w:t>
      </w:r>
      <w:r>
        <w:rPr>
          <w:rFonts w:hint="eastAsia" w:cs="仿宋_GB2312"/>
        </w:rPr>
        <w:t>两项补贴</w:t>
      </w:r>
      <w:r>
        <w:t>”</w:t>
      </w:r>
      <w:r>
        <w:rPr>
          <w:rFonts w:hint="eastAsia" w:cs="仿宋_GB2312"/>
        </w:rPr>
        <w:t>制度，规范补贴对象管理。推进精神障碍社区康复服务，出台《湖南省精神障碍社区康复服务指导意见》《湖南省精神障碍社区康复中心建设和服务标准》，推动精神障碍社区康复服务试点示范工作。支持康复辅具产业发展，落实深度贫困县康复辅具站点建设，打造智能高效的辅具服务平台。</w:t>
      </w:r>
    </w:p>
    <w:p w14:paraId="4B4C289A">
      <w:pPr>
        <w:spacing w:line="580" w:lineRule="exact"/>
        <w:ind w:firstLine="630" w:firstLineChars="196"/>
      </w:pPr>
      <w:r>
        <w:rPr>
          <w:rFonts w:eastAsia="楷体"/>
          <w:b/>
          <w:bCs/>
        </w:rPr>
        <w:t>31</w:t>
      </w:r>
      <w:r>
        <w:rPr>
          <w:rFonts w:hint="eastAsia" w:eastAsia="楷体" w:cs="楷体"/>
          <w:b/>
          <w:bCs/>
        </w:rPr>
        <w:t>、推进婚丧礼俗改革。</w:t>
      </w:r>
      <w:r>
        <w:rPr>
          <w:rFonts w:hint="eastAsia" w:cs="仿宋_GB2312"/>
        </w:rPr>
        <w:t>深化</w:t>
      </w:r>
      <w:r>
        <w:t>“</w:t>
      </w:r>
      <w:r>
        <w:rPr>
          <w:rFonts w:hint="eastAsia" w:cs="仿宋_GB2312"/>
        </w:rPr>
        <w:t>纠四风</w:t>
      </w:r>
      <w:r>
        <w:t>”</w:t>
      </w:r>
      <w:r>
        <w:rPr>
          <w:rFonts w:hint="eastAsia" w:cs="仿宋_GB2312"/>
        </w:rPr>
        <w:t>、治陋习、树新风活动，突出党员干部带头，加大典型案例通报，发挥基层红白理事会作用，弘扬先进婚丧文化，倡导群众文明节俭操办婚丧喜庆事宜，推动全省形成崇尚节俭、反对奢侈浪费的良好社会风尚。</w:t>
      </w:r>
    </w:p>
    <w:p w14:paraId="529882D2">
      <w:pPr>
        <w:spacing w:line="580" w:lineRule="exact"/>
        <w:ind w:firstLine="630" w:firstLineChars="196"/>
      </w:pPr>
      <w:r>
        <w:rPr>
          <w:rFonts w:eastAsia="楷体"/>
          <w:b/>
          <w:bCs/>
        </w:rPr>
        <w:t>32</w:t>
      </w:r>
      <w:r>
        <w:rPr>
          <w:rFonts w:hint="eastAsia" w:eastAsia="楷体" w:cs="楷体"/>
          <w:b/>
          <w:bCs/>
        </w:rPr>
        <w:t>、深化殡葬改革。</w:t>
      </w:r>
      <w:r>
        <w:rPr>
          <w:rFonts w:hint="eastAsia" w:cs="仿宋_GB2312"/>
        </w:rPr>
        <w:t>加强公益性殡葬设施建设，重点推进城乡公益性墓地建设。完善惠民殡葬政策和节地生态安葬奖补制度，保障人民群众特别是困难群众基本殡葬服务需求，节地生态安葬率达到</w:t>
      </w:r>
      <w:r>
        <w:t>48%</w:t>
      </w:r>
      <w:r>
        <w:rPr>
          <w:rFonts w:hint="eastAsia" w:cs="仿宋_GB2312"/>
        </w:rPr>
        <w:t>。推广使用全省殡葬管理服务信息平台。巩固殡葬领域突出问题专项整治成果，规范公墓管理，推动部门联合监管执法。</w:t>
      </w:r>
    </w:p>
    <w:p w14:paraId="20D584C1">
      <w:pPr>
        <w:spacing w:line="580" w:lineRule="exact"/>
        <w:ind w:firstLine="630" w:firstLineChars="196"/>
      </w:pPr>
      <w:r>
        <w:rPr>
          <w:rFonts w:eastAsia="楷体"/>
          <w:b/>
          <w:bCs/>
        </w:rPr>
        <w:t>33</w:t>
      </w:r>
      <w:r>
        <w:rPr>
          <w:rFonts w:hint="eastAsia" w:eastAsia="楷体" w:cs="楷体"/>
          <w:b/>
          <w:bCs/>
        </w:rPr>
        <w:t>、优化婚姻管理服务。</w:t>
      </w:r>
      <w:r>
        <w:rPr>
          <w:rFonts w:hint="eastAsia" w:cs="仿宋_GB2312"/>
        </w:rPr>
        <w:t>完善全省婚姻登记管理信息系统，优化婚姻登记管理服务，继续推进全省婚姻登记标准化建设。探索跨区域婚姻登记试点，推进婚姻登记严重失信当事人信用约束和联合惩戒。</w:t>
      </w:r>
    </w:p>
    <w:p w14:paraId="76B96152">
      <w:pPr>
        <w:spacing w:line="580" w:lineRule="exact"/>
        <w:ind w:firstLine="630"/>
      </w:pPr>
      <w:r>
        <w:rPr>
          <w:rFonts w:eastAsia="楷体"/>
          <w:b/>
          <w:bCs/>
        </w:rPr>
        <w:t>34</w:t>
      </w:r>
      <w:r>
        <w:rPr>
          <w:rFonts w:hint="eastAsia" w:eastAsia="楷体" w:cs="楷体"/>
          <w:b/>
          <w:bCs/>
        </w:rPr>
        <w:t>、强化生活无着的流浪乞讨人员救助管理服务。</w:t>
      </w:r>
      <w:r>
        <w:rPr>
          <w:rFonts w:hint="eastAsia" w:cs="仿宋_GB2312"/>
        </w:rPr>
        <w:t>贯彻落实中办、国办关于进一步改进和加强救助管理工作的意见，制定我省实施意见。组织开展</w:t>
      </w:r>
      <w:r>
        <w:t>“</w:t>
      </w:r>
      <w:r>
        <w:rPr>
          <w:rFonts w:hint="eastAsia" w:cs="仿宋_GB2312"/>
        </w:rPr>
        <w:t>救助服务质量大提升</w:t>
      </w:r>
      <w:r>
        <w:t>”</w:t>
      </w:r>
      <w:r>
        <w:rPr>
          <w:rFonts w:hint="eastAsia" w:cs="仿宋_GB2312"/>
        </w:rPr>
        <w:t>专项行动。继续开展</w:t>
      </w:r>
      <w:r>
        <w:t>“</w:t>
      </w:r>
      <w:r>
        <w:rPr>
          <w:rFonts w:hint="eastAsia" w:cs="仿宋_GB2312"/>
        </w:rPr>
        <w:t>寒冬送温暖</w:t>
      </w:r>
      <w:r>
        <w:t>”“</w:t>
      </w:r>
      <w:r>
        <w:rPr>
          <w:rFonts w:hint="eastAsia" w:cs="仿宋_GB2312"/>
        </w:rPr>
        <w:t>夏季送清凉</w:t>
      </w:r>
      <w:r>
        <w:t>”</w:t>
      </w:r>
      <w:r>
        <w:rPr>
          <w:rFonts w:hint="eastAsia" w:cs="仿宋_GB2312"/>
        </w:rPr>
        <w:t>专项救助行动。建立健全监督检查制度，定期开展救助和托养机构检查工作，特别对托养机构的承接资质、设施条件、服务质量、安全管理等加强检查。加大寻亲力度，充分利用人脸识别、</w:t>
      </w:r>
      <w:r>
        <w:t>DNA</w:t>
      </w:r>
      <w:r>
        <w:rPr>
          <w:rFonts w:hint="eastAsia" w:cs="仿宋_GB2312"/>
        </w:rPr>
        <w:t>比对、大数据寻亲等科技手段深入开展</w:t>
      </w:r>
      <w:r>
        <w:t>“</w:t>
      </w:r>
      <w:r>
        <w:rPr>
          <w:rFonts w:hint="eastAsia" w:cs="仿宋_GB2312"/>
        </w:rPr>
        <w:t>互联网</w:t>
      </w:r>
      <w:r>
        <w:t>+”</w:t>
      </w:r>
      <w:r>
        <w:rPr>
          <w:rFonts w:hint="eastAsia" w:cs="仿宋_GB2312"/>
        </w:rPr>
        <w:t>寻亲服务。</w:t>
      </w:r>
    </w:p>
    <w:p w14:paraId="49A98F51">
      <w:pPr>
        <w:spacing w:line="580" w:lineRule="exact"/>
        <w:ind w:firstLine="630"/>
        <w:rPr>
          <w:rFonts w:eastAsia="黑体"/>
        </w:rPr>
      </w:pPr>
      <w:r>
        <w:rPr>
          <w:rFonts w:hint="eastAsia" w:eastAsia="黑体" w:cs="黑体"/>
        </w:rPr>
        <w:t>十、加快发展慈善事业、社会工作和志愿服务</w:t>
      </w:r>
    </w:p>
    <w:p w14:paraId="5368428A">
      <w:pPr>
        <w:spacing w:line="580" w:lineRule="exact"/>
        <w:ind w:firstLine="643" w:firstLineChars="200"/>
      </w:pPr>
      <w:r>
        <w:rPr>
          <w:rFonts w:eastAsia="楷体"/>
          <w:b/>
          <w:bCs/>
        </w:rPr>
        <w:t>35</w:t>
      </w:r>
      <w:r>
        <w:rPr>
          <w:rFonts w:hint="eastAsia" w:eastAsia="楷体" w:cs="楷体"/>
          <w:b/>
          <w:bCs/>
        </w:rPr>
        <w:t>、大力发展慈善事业。</w:t>
      </w:r>
      <w:r>
        <w:rPr>
          <w:rFonts w:hint="eastAsia" w:cs="仿宋_GB2312"/>
        </w:rPr>
        <w:t>调研起草《湖南省实施</w:t>
      </w:r>
      <w:r>
        <w:t>&lt;</w:t>
      </w:r>
      <w:r>
        <w:rPr>
          <w:rFonts w:hint="eastAsia" w:cs="仿宋_GB2312"/>
        </w:rPr>
        <w:t>中华人民共和国慈善法</w:t>
      </w:r>
      <w:r>
        <w:t>&gt;</w:t>
      </w:r>
      <w:r>
        <w:rPr>
          <w:rFonts w:hint="eastAsia" w:cs="仿宋_GB2312"/>
        </w:rPr>
        <w:t>办法》，健全慈善组织公开募捐、信息公开、保值增值监管机制，推动落实相关优惠措施。完善省市县三级慈善网络，探索建立社区慈善工作站，积极准备成立省慈善联合会，支持建设</w:t>
      </w:r>
      <w:r>
        <w:t>300</w:t>
      </w:r>
      <w:r>
        <w:rPr>
          <w:rFonts w:hint="eastAsia" w:cs="仿宋_GB2312"/>
        </w:rPr>
        <w:t>家慈善超市。弘扬湖湘慈善文化，多渠道传播慈善理念，大力培育公益慈善品牌，浓厚全省慈善事业发展氛围。</w:t>
      </w:r>
    </w:p>
    <w:p w14:paraId="488D1FFC">
      <w:pPr>
        <w:spacing w:line="580" w:lineRule="exact"/>
        <w:ind w:firstLine="643" w:firstLineChars="200"/>
      </w:pPr>
      <w:r>
        <w:rPr>
          <w:rFonts w:eastAsia="楷体"/>
          <w:b/>
          <w:bCs/>
        </w:rPr>
        <w:t>36</w:t>
      </w:r>
      <w:r>
        <w:rPr>
          <w:rFonts w:hint="eastAsia" w:eastAsia="楷体" w:cs="楷体"/>
          <w:b/>
          <w:bCs/>
        </w:rPr>
        <w:t>、大力发展社会工作。</w:t>
      </w:r>
      <w:r>
        <w:rPr>
          <w:rFonts w:hint="eastAsia" w:cs="仿宋_GB2312"/>
        </w:rPr>
        <w:t>加强社会工作服务机构党的建设，深化事业单位、城乡社区社会工作岗位开发，推进社会工作职业化建设，全省社会工作专业人才达到总人口比例的</w:t>
      </w:r>
      <w:r>
        <w:t>0.8‰</w:t>
      </w:r>
      <w:r>
        <w:rPr>
          <w:rFonts w:hint="eastAsia" w:cs="仿宋_GB2312"/>
        </w:rPr>
        <w:t>。实施</w:t>
      </w:r>
      <w:r>
        <w:t>“</w:t>
      </w:r>
      <w:r>
        <w:rPr>
          <w:rFonts w:hint="eastAsia" w:cs="仿宋_GB2312"/>
        </w:rPr>
        <w:t>三区计划</w:t>
      </w:r>
      <w:r>
        <w:t>”“</w:t>
      </w:r>
      <w:r>
        <w:rPr>
          <w:rFonts w:hint="eastAsia" w:cs="仿宋_GB2312"/>
        </w:rPr>
        <w:t>牵手计划</w:t>
      </w:r>
      <w:r>
        <w:t>”</w:t>
      </w:r>
      <w:r>
        <w:rPr>
          <w:rFonts w:hint="eastAsia" w:cs="仿宋_GB2312"/>
        </w:rPr>
        <w:t>等社会工作专业人才服务贫困地区行动计划，积极发展农村社会工作。推进乡镇（街道）社工站全覆盖，确保项目服务成效和可持续发展，不断增强基层民政管理服务能力。探索建立乡镇（街道）社工站</w:t>
      </w:r>
      <w:r>
        <w:t>+</w:t>
      </w:r>
      <w:r>
        <w:rPr>
          <w:rFonts w:hint="eastAsia" w:cs="仿宋_GB2312"/>
        </w:rPr>
        <w:t>社区社工室、农村留守儿童之家、社区日间照料中心、敬老院、慈善超市等民政服务窗口的</w:t>
      </w:r>
      <w:r>
        <w:t>1+N</w:t>
      </w:r>
      <w:r>
        <w:rPr>
          <w:rFonts w:hint="eastAsia" w:cs="仿宋_GB2312"/>
        </w:rPr>
        <w:t>体系，打造社会救助、儿童福利、养老服务、社区建设等民政领域社会工作发展的湖南模式。</w:t>
      </w:r>
    </w:p>
    <w:p w14:paraId="5EAFA8DF">
      <w:pPr>
        <w:spacing w:line="580" w:lineRule="exact"/>
        <w:ind w:firstLine="643" w:firstLineChars="200"/>
      </w:pPr>
      <w:r>
        <w:rPr>
          <w:rFonts w:eastAsia="楷体"/>
          <w:b/>
          <w:bCs/>
        </w:rPr>
        <w:t>37</w:t>
      </w:r>
      <w:r>
        <w:rPr>
          <w:rFonts w:hint="eastAsia" w:eastAsia="楷体" w:cs="楷体"/>
          <w:b/>
          <w:bCs/>
        </w:rPr>
        <w:t>、加快发展志愿服务。</w:t>
      </w:r>
      <w:r>
        <w:rPr>
          <w:rFonts w:hint="eastAsia" w:cs="仿宋_GB2312"/>
        </w:rPr>
        <w:t>修订《湖南省志愿服务条例》，推广应用全国志愿服务信息系统，推进志愿服务数据归集、志愿服务记录与证明工作，发展壮大志愿服务队伍，全省注册志愿者人数达到居民人口比例的</w:t>
      </w:r>
      <w:r>
        <w:t>15.2%</w:t>
      </w:r>
      <w:r>
        <w:rPr>
          <w:rFonts w:hint="eastAsia" w:cs="仿宋_GB2312"/>
        </w:rPr>
        <w:t>。加强日常监管，依法规范志愿服务活动，支持建立</w:t>
      </w:r>
      <w:r>
        <w:t>“</w:t>
      </w:r>
      <w:r>
        <w:rPr>
          <w:rFonts w:hint="eastAsia" w:cs="仿宋_GB2312"/>
        </w:rPr>
        <w:t>社工引领义工</w:t>
      </w:r>
      <w:r>
        <w:t>”</w:t>
      </w:r>
      <w:r>
        <w:rPr>
          <w:rFonts w:hint="eastAsia" w:cs="仿宋_GB2312"/>
        </w:rPr>
        <w:t>的双工互动机制，引导一批规模大、影响广、基础好的志愿服务团队依法注册为志愿服务组织。</w:t>
      </w:r>
    </w:p>
    <w:p w14:paraId="557035BE">
      <w:pPr>
        <w:spacing w:line="580" w:lineRule="exact"/>
        <w:ind w:firstLine="643" w:firstLineChars="200"/>
      </w:pPr>
      <w:r>
        <w:rPr>
          <w:rFonts w:eastAsia="楷体"/>
          <w:b/>
          <w:bCs/>
        </w:rPr>
        <w:t>38</w:t>
      </w:r>
      <w:r>
        <w:rPr>
          <w:rFonts w:hint="eastAsia" w:eastAsia="楷体" w:cs="楷体"/>
          <w:b/>
          <w:bCs/>
        </w:rPr>
        <w:t>、加强福彩发行管理。</w:t>
      </w:r>
      <w:r>
        <w:rPr>
          <w:rFonts w:hint="eastAsia" w:cs="仿宋_GB2312"/>
        </w:rPr>
        <w:t>认真落实国家关于福彩发行工作新要求，加强快开游戏、双色球游戏规则调整后的市场管理，多渠道推进增机布点，探索建立站点孵化基地，加快推进省福彩综合体验中心建设，打造</w:t>
      </w:r>
      <w:r>
        <w:t>“</w:t>
      </w:r>
      <w:r>
        <w:rPr>
          <w:rFonts w:hint="eastAsia" w:cs="仿宋_GB2312"/>
        </w:rPr>
        <w:t>福彩大家乐</w:t>
      </w:r>
      <w:r>
        <w:t>”</w:t>
      </w:r>
      <w:r>
        <w:rPr>
          <w:rFonts w:hint="eastAsia" w:cs="仿宋_GB2312"/>
        </w:rPr>
        <w:t>平台，推动全省福彩实现</w:t>
      </w:r>
      <w:r>
        <w:t>“</w:t>
      </w:r>
      <w:r>
        <w:rPr>
          <w:rFonts w:hint="eastAsia" w:cs="仿宋_GB2312"/>
        </w:rPr>
        <w:t>稳中有进、进中有优</w:t>
      </w:r>
      <w:r>
        <w:t>”</w:t>
      </w:r>
      <w:r>
        <w:rPr>
          <w:rFonts w:hint="eastAsia" w:cs="仿宋_GB2312"/>
        </w:rPr>
        <w:t>高质量发展。</w:t>
      </w:r>
    </w:p>
    <w:p w14:paraId="7C3BCB55">
      <w:pPr>
        <w:spacing w:line="580" w:lineRule="exact"/>
        <w:ind w:firstLine="630"/>
        <w:rPr>
          <w:rFonts w:eastAsia="黑体"/>
        </w:rPr>
      </w:pPr>
      <w:r>
        <w:rPr>
          <w:rFonts w:hint="eastAsia" w:eastAsia="黑体" w:cs="黑体"/>
        </w:rPr>
        <w:t>十一、加快五化民政建设</w:t>
      </w:r>
    </w:p>
    <w:p w14:paraId="505DEA24">
      <w:pPr>
        <w:spacing w:line="580" w:lineRule="exact"/>
        <w:ind w:firstLine="643" w:firstLineChars="200"/>
        <w:outlineLvl w:val="1"/>
      </w:pPr>
      <w:r>
        <w:rPr>
          <w:rFonts w:eastAsia="楷体"/>
          <w:b/>
          <w:bCs/>
        </w:rPr>
        <w:t>39</w:t>
      </w:r>
      <w:r>
        <w:rPr>
          <w:rFonts w:hint="eastAsia" w:eastAsia="楷体" w:cs="楷体"/>
          <w:b/>
          <w:bCs/>
        </w:rPr>
        <w:t>、加强法治化建设。</w:t>
      </w:r>
      <w:r>
        <w:rPr>
          <w:rFonts w:hint="eastAsia" w:cs="仿宋_GB2312"/>
        </w:rPr>
        <w:t>落实普法责任制，编制实施《</w:t>
      </w:r>
      <w:r>
        <w:t>“</w:t>
      </w:r>
      <w:r>
        <w:rPr>
          <w:rFonts w:hint="eastAsia" w:cs="仿宋_GB2312"/>
        </w:rPr>
        <w:t>谁执法谁普法</w:t>
      </w:r>
      <w:r>
        <w:t>”</w:t>
      </w:r>
      <w:r>
        <w:rPr>
          <w:rFonts w:hint="eastAsia" w:cs="仿宋_GB2312"/>
        </w:rPr>
        <w:t>普法责任清单》。建立代表委员联络机制，认真办理人大代表、政协委员建议提案，积极回应群众</w:t>
      </w:r>
      <w:r>
        <w:t>“</w:t>
      </w:r>
      <w:r>
        <w:rPr>
          <w:rFonts w:hint="eastAsia" w:cs="仿宋_GB2312"/>
        </w:rPr>
        <w:t>公众问答</w:t>
      </w:r>
      <w:r>
        <w:t>”</w:t>
      </w:r>
      <w:r>
        <w:rPr>
          <w:rFonts w:hint="eastAsia" w:cs="仿宋_GB2312"/>
        </w:rPr>
        <w:t>，全面梳理办事服务</w:t>
      </w:r>
      <w:r>
        <w:t>“</w:t>
      </w:r>
      <w:r>
        <w:rPr>
          <w:rFonts w:hint="eastAsia" w:cs="仿宋_GB2312"/>
        </w:rPr>
        <w:t>堵点</w:t>
      </w:r>
      <w:r>
        <w:t>”“</w:t>
      </w:r>
      <w:r>
        <w:rPr>
          <w:rFonts w:hint="eastAsia" w:cs="仿宋_GB2312"/>
        </w:rPr>
        <w:t>难点</w:t>
      </w:r>
      <w:r>
        <w:t>”</w:t>
      </w:r>
      <w:r>
        <w:rPr>
          <w:rFonts w:hint="eastAsia" w:cs="仿宋_GB2312"/>
        </w:rPr>
        <w:t>问题，主动接受社会各方监督。</w:t>
      </w:r>
    </w:p>
    <w:p w14:paraId="7561F9CB">
      <w:pPr>
        <w:spacing w:line="580" w:lineRule="exact"/>
        <w:ind w:firstLine="643" w:firstLineChars="200"/>
        <w:outlineLvl w:val="1"/>
      </w:pPr>
      <w:r>
        <w:rPr>
          <w:rFonts w:eastAsia="楷体"/>
          <w:b/>
          <w:bCs/>
        </w:rPr>
        <w:t>40</w:t>
      </w:r>
      <w:r>
        <w:rPr>
          <w:rFonts w:hint="eastAsia" w:eastAsia="楷体" w:cs="楷体"/>
          <w:b/>
          <w:bCs/>
        </w:rPr>
        <w:t>、加强信息化建设。</w:t>
      </w:r>
      <w:r>
        <w:rPr>
          <w:rFonts w:hint="eastAsia" w:cs="仿宋_GB2312"/>
        </w:rPr>
        <w:t>加强信息化建设，坚持</w:t>
      </w:r>
      <w:r>
        <w:t>“</w:t>
      </w:r>
      <w:r>
        <w:rPr>
          <w:rFonts w:hint="eastAsia" w:cs="仿宋_GB2312"/>
        </w:rPr>
        <w:t>一张网、一体化、一揽子、一盘棋</w:t>
      </w:r>
      <w:r>
        <w:t>”</w:t>
      </w:r>
      <w:r>
        <w:rPr>
          <w:rFonts w:hint="eastAsia" w:cs="仿宋_GB2312"/>
        </w:rPr>
        <w:t>，实施</w:t>
      </w:r>
      <w:r>
        <w:t xml:space="preserve"> “</w:t>
      </w:r>
      <w:r>
        <w:rPr>
          <w:rFonts w:hint="eastAsia" w:cs="仿宋_GB2312"/>
        </w:rPr>
        <w:t>智慧民政</w:t>
      </w:r>
      <w:r>
        <w:t>”</w:t>
      </w:r>
      <w:r>
        <w:rPr>
          <w:rFonts w:hint="eastAsia" w:cs="仿宋_GB2312"/>
        </w:rPr>
        <w:t>建设三年行动，建成民政综合业务平台，完善自然人信息数据中心，加快</w:t>
      </w:r>
      <w:r>
        <w:t>“</w:t>
      </w:r>
      <w:r>
        <w:rPr>
          <w:rFonts w:hint="eastAsia" w:cs="仿宋_GB2312"/>
        </w:rPr>
        <w:t>互联网</w:t>
      </w:r>
      <w:r>
        <w:t>+</w:t>
      </w:r>
      <w:r>
        <w:rPr>
          <w:rFonts w:hint="eastAsia" w:cs="仿宋_GB2312"/>
        </w:rPr>
        <w:t>民政服务</w:t>
      </w:r>
      <w:r>
        <w:t>”</w:t>
      </w:r>
      <w:r>
        <w:rPr>
          <w:rFonts w:hint="eastAsia" w:cs="仿宋_GB2312"/>
        </w:rPr>
        <w:t>步伐，推进民政便民服务</w:t>
      </w:r>
      <w:r>
        <w:t xml:space="preserve"> “</w:t>
      </w:r>
      <w:r>
        <w:rPr>
          <w:rFonts w:hint="eastAsia" w:cs="仿宋_GB2312"/>
        </w:rPr>
        <w:t>马上办、网上办、就近办、一次办</w:t>
      </w:r>
      <w:r>
        <w:t>”</w:t>
      </w:r>
      <w:r>
        <w:rPr>
          <w:rFonts w:hint="eastAsia" w:cs="仿宋_GB2312"/>
        </w:rPr>
        <w:t>。</w:t>
      </w:r>
    </w:p>
    <w:p w14:paraId="1FA761EF">
      <w:pPr>
        <w:spacing w:line="580" w:lineRule="exact"/>
        <w:ind w:firstLine="643" w:firstLineChars="200"/>
        <w:outlineLvl w:val="1"/>
      </w:pPr>
      <w:r>
        <w:rPr>
          <w:rFonts w:eastAsia="楷体"/>
          <w:b/>
          <w:bCs/>
        </w:rPr>
        <w:t>41</w:t>
      </w:r>
      <w:r>
        <w:rPr>
          <w:rFonts w:hint="eastAsia" w:eastAsia="楷体" w:cs="楷体"/>
          <w:b/>
          <w:bCs/>
        </w:rPr>
        <w:t>、加强社会化建设。</w:t>
      </w:r>
      <w:r>
        <w:rPr>
          <w:rFonts w:hint="eastAsia" w:cs="仿宋_GB2312"/>
        </w:rPr>
        <w:t>编制</w:t>
      </w:r>
      <w:r>
        <w:t>2019</w:t>
      </w:r>
      <w:r>
        <w:rPr>
          <w:rFonts w:hint="eastAsia" w:cs="仿宋_GB2312"/>
        </w:rPr>
        <w:t>年民政领域政府购买服务目录，指导各级民政部门加大购买服务力度。依托湖南现代民政研究院，发挥专家学者作用，开展前沿研究，推动成果转化，提升民政发展层次。发挥各类孵化基地作用，加强民政领域社会组织培育，开发民政机构社会工作岗位，充分运用政府购买服务机制，加快民政改革创新步伐。</w:t>
      </w:r>
    </w:p>
    <w:p w14:paraId="43B9F282">
      <w:pPr>
        <w:spacing w:line="580" w:lineRule="exact"/>
        <w:ind w:firstLine="643" w:firstLineChars="200"/>
        <w:outlineLvl w:val="1"/>
      </w:pPr>
      <w:r>
        <w:rPr>
          <w:rFonts w:eastAsia="楷体"/>
          <w:b/>
          <w:bCs/>
        </w:rPr>
        <w:t>42</w:t>
      </w:r>
      <w:r>
        <w:rPr>
          <w:rFonts w:hint="eastAsia" w:eastAsia="楷体" w:cs="楷体"/>
          <w:b/>
          <w:bCs/>
        </w:rPr>
        <w:t>、加强标准化建设。</w:t>
      </w:r>
      <w:r>
        <w:rPr>
          <w:rFonts w:hint="eastAsia" w:cs="仿宋_GB2312"/>
        </w:rPr>
        <w:t>加大民政领域地方标准和行业标准制定、修订力度，健全完善养老服务等地方标准体系，指导开展标准化试点工作，做好各类标准的宣传贯彻工作，不断提高民政发展质量。</w:t>
      </w:r>
    </w:p>
    <w:p w14:paraId="4CE09D57">
      <w:pPr>
        <w:spacing w:line="580" w:lineRule="exact"/>
        <w:ind w:firstLine="643" w:firstLineChars="200"/>
        <w:outlineLvl w:val="1"/>
      </w:pPr>
      <w:r>
        <w:rPr>
          <w:rFonts w:eastAsia="楷体"/>
          <w:b/>
          <w:bCs/>
        </w:rPr>
        <w:t>43</w:t>
      </w:r>
      <w:r>
        <w:rPr>
          <w:rFonts w:hint="eastAsia" w:hAnsi="楷体" w:eastAsia="楷体" w:cs="楷体"/>
          <w:b/>
          <w:bCs/>
        </w:rPr>
        <w:t>、推进</w:t>
      </w:r>
      <w:r>
        <w:rPr>
          <w:rFonts w:eastAsia="楷体"/>
          <w:b/>
          <w:bCs/>
        </w:rPr>
        <w:t>“</w:t>
      </w:r>
      <w:r>
        <w:rPr>
          <w:rFonts w:hint="eastAsia" w:hAnsi="楷体" w:eastAsia="楷体" w:cs="楷体"/>
          <w:b/>
          <w:bCs/>
        </w:rPr>
        <w:t>五化民政高质量发展年</w:t>
      </w:r>
      <w:r>
        <w:rPr>
          <w:rFonts w:eastAsia="楷体"/>
          <w:b/>
          <w:bCs/>
        </w:rPr>
        <w:t>”</w:t>
      </w:r>
      <w:r>
        <w:rPr>
          <w:rFonts w:hint="eastAsia" w:hAnsi="楷体" w:eastAsia="楷体" w:cs="楷体"/>
          <w:b/>
          <w:bCs/>
        </w:rPr>
        <w:t>。</w:t>
      </w:r>
      <w:r>
        <w:rPr>
          <w:rFonts w:hint="eastAsia" w:cs="仿宋_GB2312"/>
        </w:rPr>
        <w:t>制定民政改革发展意见，科学谋划民政改革发展任务，优化五化民政顶层设计，完善总体方案，科学制定评估细则，完善指标体系，改进评估办法，建立五化先进县（市区）动态调整机制，探索五化创新实验区建设，不断提升民政为民服务水平。</w:t>
      </w:r>
      <w:r>
        <w:t xml:space="preserve"> </w:t>
      </w:r>
    </w:p>
    <w:p w14:paraId="66AEBD27">
      <w:pPr>
        <w:spacing w:line="580" w:lineRule="exact"/>
        <w:ind w:firstLine="630"/>
        <w:rPr>
          <w:rFonts w:eastAsia="黑体"/>
        </w:rPr>
      </w:pPr>
      <w:r>
        <w:rPr>
          <w:rFonts w:hint="eastAsia" w:eastAsia="黑体" w:cs="黑体"/>
        </w:rPr>
        <w:t>十二、提高民政综合能力</w:t>
      </w:r>
    </w:p>
    <w:p w14:paraId="0330B215">
      <w:pPr>
        <w:spacing w:line="580" w:lineRule="exact"/>
        <w:ind w:firstLine="630"/>
      </w:pPr>
      <w:r>
        <w:rPr>
          <w:rFonts w:eastAsia="楷体"/>
          <w:b/>
          <w:bCs/>
        </w:rPr>
        <w:t>44</w:t>
      </w:r>
      <w:r>
        <w:rPr>
          <w:rFonts w:hint="eastAsia" w:eastAsia="楷体" w:cs="楷体"/>
          <w:b/>
          <w:bCs/>
        </w:rPr>
        <w:t>、改进新闻宣传。</w:t>
      </w:r>
      <w:r>
        <w:rPr>
          <w:rFonts w:hint="eastAsia" w:cs="仿宋_GB2312"/>
        </w:rPr>
        <w:t>深化厅媒共建，强化政策解读，创新宣传方法，畅通新闻渠道，建好民政新媒体，不断传递大爱情怀，讲好民政故事，展示民生温暖。</w:t>
      </w:r>
    </w:p>
    <w:p w14:paraId="543B8439">
      <w:pPr>
        <w:spacing w:line="580" w:lineRule="exact"/>
        <w:ind w:firstLine="630"/>
      </w:pPr>
      <w:r>
        <w:rPr>
          <w:rFonts w:eastAsia="楷体"/>
          <w:b/>
          <w:bCs/>
        </w:rPr>
        <w:t>45</w:t>
      </w:r>
      <w:r>
        <w:rPr>
          <w:rFonts w:hint="eastAsia" w:eastAsia="楷体" w:cs="楷体"/>
          <w:b/>
          <w:bCs/>
        </w:rPr>
        <w:t>、夯实基层基础。</w:t>
      </w:r>
      <w:r>
        <w:rPr>
          <w:rFonts w:hint="eastAsia" w:cs="仿宋_GB2312"/>
        </w:rPr>
        <w:t>加强基层民政能力建设，指导市县尽快出台《关于推进政府购买服务加强基层民政能力的实施意见》配套政策，加快建立村级民生协理员队伍，持续提高基层经办服务能力。加强民政服务设施建设，全面落实湘民发〔</w:t>
      </w:r>
      <w:r>
        <w:t>2018</w:t>
      </w:r>
      <w:r>
        <w:rPr>
          <w:rFonts w:hint="eastAsia" w:cs="仿宋_GB2312"/>
        </w:rPr>
        <w:t>〕</w:t>
      </w:r>
      <w:r>
        <w:t>43</w:t>
      </w:r>
      <w:r>
        <w:rPr>
          <w:rFonts w:hint="eastAsia" w:cs="仿宋_GB2312"/>
        </w:rPr>
        <w:t>号文件要求，坚持</w:t>
      </w:r>
      <w:r>
        <w:t>“</w:t>
      </w:r>
      <w:r>
        <w:rPr>
          <w:rFonts w:hint="eastAsia" w:cs="仿宋_GB2312"/>
        </w:rPr>
        <w:t>抓两头促中间</w:t>
      </w:r>
      <w:r>
        <w:t>”</w:t>
      </w:r>
      <w:r>
        <w:rPr>
          <w:rFonts w:hint="eastAsia" w:cs="仿宋_GB2312"/>
        </w:rPr>
        <w:t>，完善民政项目库管理，推动</w:t>
      </w:r>
      <w:r>
        <w:t>10</w:t>
      </w:r>
      <w:r>
        <w:rPr>
          <w:rFonts w:hint="eastAsia" w:cs="仿宋_GB2312"/>
        </w:rPr>
        <w:t>项指标任务落实，完善民政基本公共服务体系。</w:t>
      </w:r>
    </w:p>
    <w:p w14:paraId="7EEF64DC">
      <w:pPr>
        <w:spacing w:line="580" w:lineRule="exact"/>
        <w:ind w:firstLine="630"/>
      </w:pPr>
      <w:r>
        <w:rPr>
          <w:rFonts w:eastAsia="楷体"/>
          <w:b/>
          <w:bCs/>
        </w:rPr>
        <w:t>46</w:t>
      </w:r>
      <w:r>
        <w:rPr>
          <w:rFonts w:hint="eastAsia" w:eastAsia="楷体" w:cs="楷体"/>
          <w:b/>
          <w:bCs/>
        </w:rPr>
        <w:t>、加强效能建设。</w:t>
      </w:r>
      <w:r>
        <w:rPr>
          <w:rFonts w:hint="eastAsia" w:cs="仿宋_GB2312"/>
        </w:rPr>
        <w:t>规范民政统计管理，抓好数据源头采集，推进民政数据</w:t>
      </w:r>
      <w:r>
        <w:t>“</w:t>
      </w:r>
      <w:r>
        <w:rPr>
          <w:rFonts w:hint="eastAsia" w:cs="仿宋_GB2312"/>
        </w:rPr>
        <w:t>一门清</w:t>
      </w:r>
      <w:r>
        <w:t>”</w:t>
      </w:r>
      <w:r>
        <w:rPr>
          <w:rFonts w:hint="eastAsia" w:cs="仿宋_GB2312"/>
        </w:rPr>
        <w:t>，逐步实现资金跟着数据走，项目依据规划定。规范预算绩效管理，加强资金执法检查，切实防范债务风险，集中财力办大事，提高民政资金社会效益。加强机关基础工作，规范民政直属单位管理，提高民政服务能力和管理效能。</w:t>
      </w:r>
    </w:p>
    <w:p w14:paraId="76F4FC7E">
      <w:pPr>
        <w:spacing w:line="580" w:lineRule="exact"/>
        <w:ind w:firstLine="630"/>
      </w:pPr>
      <w:r>
        <w:rPr>
          <w:rFonts w:eastAsia="楷体"/>
          <w:b/>
          <w:bCs/>
        </w:rPr>
        <w:t>47</w:t>
      </w:r>
      <w:r>
        <w:rPr>
          <w:rFonts w:hint="eastAsia" w:eastAsia="楷体" w:cs="楷体"/>
          <w:b/>
          <w:bCs/>
        </w:rPr>
        <w:t>、健全民政工作领导机制。</w:t>
      </w:r>
      <w:r>
        <w:rPr>
          <w:rFonts w:hint="eastAsia" w:cs="仿宋_GB2312"/>
        </w:rPr>
        <w:t>完善社区治理、社会组织、养老服务、慈善事业、志愿服务、殡葬管理等协调机制，强化上下联动、左右协同，共同推动事业发展。</w:t>
      </w:r>
    </w:p>
    <w:p w14:paraId="313DF17B">
      <w:pPr>
        <w:spacing w:line="580" w:lineRule="exact"/>
        <w:ind w:firstLine="630"/>
      </w:pPr>
      <w:r>
        <w:rPr>
          <w:rFonts w:eastAsia="楷体"/>
          <w:b/>
          <w:bCs/>
        </w:rPr>
        <w:t>48</w:t>
      </w:r>
      <w:r>
        <w:rPr>
          <w:rFonts w:hint="eastAsia" w:eastAsia="楷体" w:cs="楷体"/>
          <w:b/>
          <w:bCs/>
        </w:rPr>
        <w:t>、全面深化改革。</w:t>
      </w:r>
      <w:r>
        <w:rPr>
          <w:rFonts w:hint="eastAsia" w:cs="仿宋_GB2312"/>
        </w:rPr>
        <w:t>落实省委《党的十九大报告重要改革举措实施规划（</w:t>
      </w:r>
      <w:r>
        <w:t>2018-2022</w:t>
      </w:r>
      <w:r>
        <w:rPr>
          <w:rFonts w:hint="eastAsia" w:cs="仿宋_GB2312"/>
        </w:rPr>
        <w:t>年）》，按照党政领导、民政牵头、部门协同、社会参与的总体要求，全面完成基层自治、社区治理、社会救助、社会福利、慈善事业等重点改革任务。稳妥完成好机构改革任务，推动优化职能配置，不断完善机构设置。</w:t>
      </w:r>
    </w:p>
    <w:p w14:paraId="5F50892E">
      <w:pPr>
        <w:spacing w:line="580" w:lineRule="exact"/>
        <w:ind w:firstLine="630"/>
      </w:pPr>
      <w:r>
        <w:rPr>
          <w:rFonts w:eastAsia="楷体"/>
          <w:b/>
          <w:bCs/>
        </w:rPr>
        <w:t>49</w:t>
      </w:r>
      <w:r>
        <w:rPr>
          <w:rFonts w:hint="eastAsia" w:eastAsia="楷体" w:cs="楷体"/>
          <w:b/>
          <w:bCs/>
        </w:rPr>
        <w:t>、加强民政安全管理。</w:t>
      </w:r>
      <w:r>
        <w:rPr>
          <w:rFonts w:hint="eastAsia" w:cs="仿宋_GB2312"/>
        </w:rPr>
        <w:t>抓好民政系统安全管理，定期部署开展安全隐患排查整治，保障民政服务对象生命财产安全。抓好信访维稳工作，落实依法逐级走访、分类处理、网上信访要求，保障上访对象合法权益。加强保密管理，规范民政档案管理利用。</w:t>
      </w:r>
    </w:p>
    <w:p w14:paraId="105F7704">
      <w:pPr>
        <w:spacing w:line="580" w:lineRule="exact"/>
        <w:ind w:firstLine="630"/>
      </w:pPr>
      <w:r>
        <w:rPr>
          <w:rFonts w:eastAsia="楷体"/>
          <w:b/>
          <w:bCs/>
        </w:rPr>
        <w:t>50</w:t>
      </w:r>
      <w:r>
        <w:rPr>
          <w:rFonts w:hint="eastAsia" w:eastAsia="楷体" w:cs="楷体"/>
          <w:b/>
          <w:bCs/>
        </w:rPr>
        <w:t>、改进督促检查。</w:t>
      </w:r>
      <w:r>
        <w:rPr>
          <w:rFonts w:hint="eastAsia" w:cs="仿宋_GB2312"/>
        </w:rPr>
        <w:t>指导各级民政部门党组加强自身建设，提高把方向、谋大局、定政策、促改革能力。深化领导蹲点调研，大兴刻苦学习之风，大兴调查研究之风，大兴务实创新之风，集中破解发展短板问题。完善</w:t>
      </w:r>
      <w:r>
        <w:t>“</w:t>
      </w:r>
      <w:r>
        <w:rPr>
          <w:rFonts w:hint="eastAsia" w:cs="仿宋_GB2312"/>
        </w:rPr>
        <w:t>一单四制</w:t>
      </w:r>
      <w:r>
        <w:t>”</w:t>
      </w:r>
      <w:r>
        <w:rPr>
          <w:rFonts w:hint="eastAsia" w:cs="仿宋_GB2312"/>
        </w:rPr>
        <w:t>管理制度，改进市州交叉调研、</w:t>
      </w:r>
      <w:r>
        <w:t>“</w:t>
      </w:r>
      <w:r>
        <w:rPr>
          <w:rFonts w:hint="eastAsia" w:cs="仿宋_GB2312"/>
        </w:rPr>
        <w:t>四不两直</w:t>
      </w:r>
      <w:r>
        <w:t>”</w:t>
      </w:r>
      <w:r>
        <w:rPr>
          <w:rFonts w:hint="eastAsia" w:cs="仿宋_GB2312"/>
        </w:rPr>
        <w:t>检查，推进民政工作在基层落实落地。</w:t>
      </w:r>
    </w:p>
    <w:p w14:paraId="5ED956BD">
      <w:pPr>
        <w:spacing w:line="580" w:lineRule="exact"/>
      </w:pPr>
    </w:p>
    <w:p w14:paraId="19148CBA">
      <w:pPr>
        <w:spacing w:line="580" w:lineRule="exact"/>
      </w:pPr>
    </w:p>
    <w:p w14:paraId="44C35E12">
      <w:pPr>
        <w:spacing w:line="580" w:lineRule="exact"/>
      </w:pPr>
    </w:p>
    <w:p w14:paraId="0511C98F">
      <w:pPr>
        <w:spacing w:line="580" w:lineRule="exact"/>
      </w:pPr>
    </w:p>
    <w:p w14:paraId="0CF67B31">
      <w:pPr>
        <w:spacing w:line="580" w:lineRule="exact"/>
      </w:pPr>
    </w:p>
    <w:p w14:paraId="4A2D3829">
      <w:pPr>
        <w:spacing w:line="580" w:lineRule="exact"/>
      </w:pPr>
    </w:p>
    <w:p w14:paraId="13F86F2F">
      <w:pPr>
        <w:spacing w:line="580" w:lineRule="exact"/>
      </w:pPr>
    </w:p>
    <w:p w14:paraId="7054A812">
      <w:pPr>
        <w:spacing w:line="580" w:lineRule="exact"/>
      </w:pPr>
    </w:p>
    <w:p w14:paraId="2F65D7E7">
      <w:pPr>
        <w:spacing w:line="580" w:lineRule="exact"/>
      </w:pPr>
    </w:p>
    <w:p w14:paraId="397CDCE4">
      <w:pPr>
        <w:spacing w:line="580" w:lineRule="exact"/>
      </w:pPr>
    </w:p>
    <w:p w14:paraId="5117A5F1">
      <w:pPr>
        <w:spacing w:line="580" w:lineRule="exact"/>
      </w:pPr>
    </w:p>
    <w:p w14:paraId="3D393B50">
      <w:pPr>
        <w:spacing w:line="580" w:lineRule="exact"/>
      </w:pPr>
    </w:p>
    <w:p w14:paraId="1ADB3A2E">
      <w:pPr>
        <w:spacing w:line="580" w:lineRule="exact"/>
      </w:pPr>
    </w:p>
    <w:p w14:paraId="14C300F1">
      <w:pPr>
        <w:spacing w:line="580" w:lineRule="exact"/>
      </w:pPr>
    </w:p>
    <w:p w14:paraId="3C1F7878">
      <w:pPr>
        <w:spacing w:line="580" w:lineRule="exact"/>
      </w:pPr>
    </w:p>
    <w:p w14:paraId="0E87CA08">
      <w:pPr>
        <w:spacing w:line="580" w:lineRule="exact"/>
      </w:pPr>
    </w:p>
    <w:p w14:paraId="6D8818B4">
      <w:pPr>
        <w:spacing w:line="580" w:lineRule="exact"/>
      </w:pPr>
    </w:p>
    <w:p w14:paraId="29FD3494">
      <w:pPr>
        <w:spacing w:line="580" w:lineRule="exact"/>
      </w:pPr>
    </w:p>
    <w:p w14:paraId="384E0539">
      <w:pPr>
        <w:spacing w:line="200" w:lineRule="exact"/>
        <w:jc w:val="left"/>
        <w:rPr>
          <w:rFonts w:eastAsia="仿宋"/>
          <w:sz w:val="28"/>
          <w:szCs w:val="28"/>
        </w:rPr>
      </w:pPr>
    </w:p>
    <w:tbl>
      <w:tblPr>
        <w:tblStyle w:val="5"/>
        <w:tblW w:w="0" w:type="auto"/>
        <w:tblInd w:w="-106"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9061"/>
      </w:tblGrid>
      <w:tr w14:paraId="2AD1C1B4">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9061" w:type="dxa"/>
          </w:tcPr>
          <w:p w14:paraId="1AA935F5">
            <w:pPr>
              <w:spacing w:line="520" w:lineRule="exact"/>
              <w:ind w:left="80" w:leftChars="25" w:right="80" w:rightChars="25"/>
              <w:jc w:val="left"/>
              <w:rPr>
                <w:kern w:val="0"/>
                <w:sz w:val="28"/>
                <w:szCs w:val="28"/>
              </w:rPr>
            </w:pPr>
            <w:r>
              <w:rPr>
                <w:rFonts w:hint="eastAsia" w:cs="仿宋_GB2312"/>
                <w:kern w:val="0"/>
                <w:sz w:val="28"/>
                <w:szCs w:val="28"/>
              </w:rPr>
              <w:t>主动公开</w:t>
            </w:r>
          </w:p>
        </w:tc>
      </w:tr>
      <w:tr w14:paraId="79731A70">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9061" w:type="dxa"/>
          </w:tcPr>
          <w:p w14:paraId="6E2A69A7">
            <w:pPr>
              <w:spacing w:line="520" w:lineRule="exact"/>
              <w:ind w:left="80" w:leftChars="25" w:right="80" w:rightChars="25"/>
              <w:jc w:val="left"/>
              <w:rPr>
                <w:kern w:val="0"/>
                <w:sz w:val="28"/>
                <w:szCs w:val="28"/>
              </w:rPr>
            </w:pPr>
            <w:r>
              <w:rPr>
                <w:rFonts w:hint="eastAsia" w:cs="仿宋_GB2312"/>
                <w:kern w:val="0"/>
                <w:sz w:val="28"/>
                <w:szCs w:val="28"/>
              </w:rPr>
              <w:t>湖南省民政厅办公室</w:t>
            </w:r>
            <w:r>
              <w:rPr>
                <w:kern w:val="0"/>
                <w:sz w:val="28"/>
                <w:szCs w:val="28"/>
              </w:rPr>
              <w:t xml:space="preserve">                         2019</w:t>
            </w:r>
            <w:r>
              <w:rPr>
                <w:rFonts w:hint="eastAsia" w:cs="仿宋_GB2312"/>
                <w:kern w:val="0"/>
                <w:sz w:val="28"/>
                <w:szCs w:val="28"/>
              </w:rPr>
              <w:t>年</w:t>
            </w:r>
            <w:r>
              <w:rPr>
                <w:kern w:val="0"/>
                <w:sz w:val="28"/>
                <w:szCs w:val="28"/>
              </w:rPr>
              <w:t>2</w:t>
            </w:r>
            <w:r>
              <w:rPr>
                <w:rFonts w:hint="eastAsia" w:cs="仿宋_GB2312"/>
                <w:kern w:val="0"/>
                <w:sz w:val="28"/>
                <w:szCs w:val="28"/>
              </w:rPr>
              <w:t>月</w:t>
            </w:r>
            <w:r>
              <w:rPr>
                <w:kern w:val="0"/>
                <w:sz w:val="28"/>
                <w:szCs w:val="28"/>
              </w:rPr>
              <w:t>18</w:t>
            </w:r>
            <w:r>
              <w:rPr>
                <w:rFonts w:hint="eastAsia" w:cs="仿宋_GB2312"/>
                <w:kern w:val="0"/>
                <w:sz w:val="28"/>
                <w:szCs w:val="28"/>
              </w:rPr>
              <w:t>日印发</w:t>
            </w:r>
          </w:p>
        </w:tc>
      </w:tr>
    </w:tbl>
    <w:p w14:paraId="01A0D6CD">
      <w:pPr>
        <w:spacing w:line="20" w:lineRule="exact"/>
        <w:ind w:firstLine="629"/>
      </w:pPr>
    </w:p>
    <w:p w14:paraId="1BEDC511">
      <w:pPr>
        <w:spacing w:line="20" w:lineRule="exact"/>
      </w:pPr>
    </w:p>
    <w:p w14:paraId="3416AD22">
      <w:pPr>
        <w:spacing w:line="20" w:lineRule="exact"/>
      </w:pPr>
    </w:p>
    <w:sectPr>
      <w:footerReference r:id="rId3" w:type="default"/>
      <w:pgSz w:w="11907" w:h="16840" w:orient="landscape"/>
      <w:pgMar w:top="2155" w:right="1474" w:bottom="1361" w:left="1588" w:header="0" w:footer="1418"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汉仪仿宋简">
    <w:altName w:val="宋体"/>
    <w:panose1 w:val="00000000000000000000"/>
    <w:charset w:val="86"/>
    <w:family w:val="auto"/>
    <w:pitch w:val="default"/>
    <w:sig w:usb0="00000000" w:usb1="00000000" w:usb2="00000010" w:usb3="00000000" w:csb0="00040000" w:csb1="00000000"/>
  </w:font>
  <w:font w:name="昆仑仿宋">
    <w:altName w:val="黑体"/>
    <w:panose1 w:val="00000000000000000000"/>
    <w:charset w:val="86"/>
    <w:family w:val="modern"/>
    <w:pitch w:val="default"/>
    <w:sig w:usb0="00000000" w:usb1="00000000" w:usb2="00000010" w:usb3="00000000" w:csb0="00040000" w:csb1="00000000"/>
  </w:font>
  <w:font w:name="方正大标宋简体">
    <w:altName w:val="微软雅黑"/>
    <w:panose1 w:val="03000509000000000000"/>
    <w:charset w:val="86"/>
    <w:family w:val="script"/>
    <w:pitch w:val="default"/>
    <w:sig w:usb0="00000000" w:usb1="00000000" w:usb2="00000010" w:usb3="00000000" w:csb0="00040000" w:csb1="00000000"/>
  </w:font>
  <w:font w:name="方正小标宋简体">
    <w:altName w:val="黑体"/>
    <w:panose1 w:val="03000509000000000000"/>
    <w:charset w:val="86"/>
    <w:family w:val="script"/>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350CD2">
    <w:pPr>
      <w:pStyle w:val="3"/>
      <w:framePr w:wrap="auto" w:vAnchor="text" w:hAnchor="margin" w:xAlign="outside" w:y="1"/>
      <w:jc w:val="center"/>
      <w:rPr>
        <w:rStyle w:val="9"/>
        <w:sz w:val="28"/>
        <w:szCs w:val="28"/>
      </w:rPr>
    </w:pPr>
    <w:r>
      <w:rPr>
        <w:rStyle w:val="9"/>
        <w:sz w:val="28"/>
        <w:szCs w:val="28"/>
      </w:rPr>
      <w:t xml:space="preserve">— </w:t>
    </w:r>
    <w:r>
      <w:rPr>
        <w:rStyle w:val="9"/>
        <w:sz w:val="28"/>
        <w:szCs w:val="28"/>
      </w:rPr>
      <w:fldChar w:fldCharType="begin"/>
    </w:r>
    <w:r>
      <w:rPr>
        <w:rStyle w:val="9"/>
        <w:sz w:val="28"/>
        <w:szCs w:val="28"/>
      </w:rPr>
      <w:instrText xml:space="preserve">PAGE  </w:instrText>
    </w:r>
    <w:r>
      <w:rPr>
        <w:rStyle w:val="9"/>
        <w:sz w:val="28"/>
        <w:szCs w:val="28"/>
      </w:rPr>
      <w:fldChar w:fldCharType="separate"/>
    </w:r>
    <w:r>
      <w:rPr>
        <w:rStyle w:val="9"/>
        <w:sz w:val="28"/>
        <w:szCs w:val="28"/>
      </w:rPr>
      <w:t>1</w:t>
    </w:r>
    <w:r>
      <w:rPr>
        <w:rStyle w:val="9"/>
        <w:sz w:val="28"/>
        <w:szCs w:val="28"/>
      </w:rPr>
      <w:fldChar w:fldCharType="end"/>
    </w:r>
    <w:r>
      <w:rPr>
        <w:rStyle w:val="9"/>
        <w:sz w:val="28"/>
        <w:szCs w:val="28"/>
      </w:rPr>
      <w:t xml:space="preserve"> —</w:t>
    </w:r>
  </w:p>
  <w:p w14:paraId="4CB71469">
    <w:pPr>
      <w:pStyle w:val="3"/>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oNotHyphenateCaps/>
  <w:bookFoldPrinting w:val="1"/>
  <w:bookFoldPrintingSheets w:val="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6538"/>
    <w:rsid w:val="000032D7"/>
    <w:rsid w:val="0001045D"/>
    <w:rsid w:val="0001101B"/>
    <w:rsid w:val="00012F80"/>
    <w:rsid w:val="000153DD"/>
    <w:rsid w:val="00045974"/>
    <w:rsid w:val="00047188"/>
    <w:rsid w:val="00053808"/>
    <w:rsid w:val="00062053"/>
    <w:rsid w:val="00067C36"/>
    <w:rsid w:val="00071A3C"/>
    <w:rsid w:val="00073AFD"/>
    <w:rsid w:val="000775BC"/>
    <w:rsid w:val="00086614"/>
    <w:rsid w:val="00086F05"/>
    <w:rsid w:val="00090DFE"/>
    <w:rsid w:val="00094E2A"/>
    <w:rsid w:val="00097E7D"/>
    <w:rsid w:val="000A5926"/>
    <w:rsid w:val="000A5998"/>
    <w:rsid w:val="000B0094"/>
    <w:rsid w:val="000D55E7"/>
    <w:rsid w:val="000D5D3D"/>
    <w:rsid w:val="000E3E0D"/>
    <w:rsid w:val="000F5B8A"/>
    <w:rsid w:val="000F5EB6"/>
    <w:rsid w:val="0011499F"/>
    <w:rsid w:val="00122775"/>
    <w:rsid w:val="00124555"/>
    <w:rsid w:val="00142ADD"/>
    <w:rsid w:val="00143A76"/>
    <w:rsid w:val="00143E6A"/>
    <w:rsid w:val="00162424"/>
    <w:rsid w:val="001643AA"/>
    <w:rsid w:val="00175F4F"/>
    <w:rsid w:val="00184A3E"/>
    <w:rsid w:val="00197A1B"/>
    <w:rsid w:val="00197A93"/>
    <w:rsid w:val="001A02DA"/>
    <w:rsid w:val="001B0DA4"/>
    <w:rsid w:val="001B46AB"/>
    <w:rsid w:val="001B6F5E"/>
    <w:rsid w:val="001C4E26"/>
    <w:rsid w:val="001C6D7F"/>
    <w:rsid w:val="001C76E9"/>
    <w:rsid w:val="001D07FA"/>
    <w:rsid w:val="001D7164"/>
    <w:rsid w:val="001F11D4"/>
    <w:rsid w:val="001F7149"/>
    <w:rsid w:val="00204918"/>
    <w:rsid w:val="0021639F"/>
    <w:rsid w:val="002201B8"/>
    <w:rsid w:val="00230F39"/>
    <w:rsid w:val="00232E30"/>
    <w:rsid w:val="0025341C"/>
    <w:rsid w:val="00255C6E"/>
    <w:rsid w:val="00256EF4"/>
    <w:rsid w:val="0026320D"/>
    <w:rsid w:val="002666AB"/>
    <w:rsid w:val="0026754C"/>
    <w:rsid w:val="0027084E"/>
    <w:rsid w:val="002A1E9C"/>
    <w:rsid w:val="002B0BA6"/>
    <w:rsid w:val="002C6AE7"/>
    <w:rsid w:val="002F011B"/>
    <w:rsid w:val="002F1D51"/>
    <w:rsid w:val="002F46D3"/>
    <w:rsid w:val="002F7E62"/>
    <w:rsid w:val="00302239"/>
    <w:rsid w:val="00302879"/>
    <w:rsid w:val="0030409F"/>
    <w:rsid w:val="00306AF5"/>
    <w:rsid w:val="00307A56"/>
    <w:rsid w:val="00310B32"/>
    <w:rsid w:val="0032613C"/>
    <w:rsid w:val="003353C4"/>
    <w:rsid w:val="0034386E"/>
    <w:rsid w:val="0037652C"/>
    <w:rsid w:val="003869FC"/>
    <w:rsid w:val="00393A68"/>
    <w:rsid w:val="00397EB3"/>
    <w:rsid w:val="003A2544"/>
    <w:rsid w:val="003A2698"/>
    <w:rsid w:val="003B6155"/>
    <w:rsid w:val="003C54ED"/>
    <w:rsid w:val="003C5543"/>
    <w:rsid w:val="003F13E7"/>
    <w:rsid w:val="0041489D"/>
    <w:rsid w:val="00417CA2"/>
    <w:rsid w:val="00420B9E"/>
    <w:rsid w:val="00427A14"/>
    <w:rsid w:val="004362A9"/>
    <w:rsid w:val="004433A4"/>
    <w:rsid w:val="00451041"/>
    <w:rsid w:val="00457554"/>
    <w:rsid w:val="00457A76"/>
    <w:rsid w:val="00464239"/>
    <w:rsid w:val="00470612"/>
    <w:rsid w:val="00477BE0"/>
    <w:rsid w:val="00484CF5"/>
    <w:rsid w:val="00485796"/>
    <w:rsid w:val="00485EA5"/>
    <w:rsid w:val="0049203A"/>
    <w:rsid w:val="004B0F5F"/>
    <w:rsid w:val="004B1BBF"/>
    <w:rsid w:val="004E19C8"/>
    <w:rsid w:val="0051342A"/>
    <w:rsid w:val="00515FD0"/>
    <w:rsid w:val="005226AD"/>
    <w:rsid w:val="0053158E"/>
    <w:rsid w:val="0053198D"/>
    <w:rsid w:val="00553FC3"/>
    <w:rsid w:val="0055450B"/>
    <w:rsid w:val="00554A39"/>
    <w:rsid w:val="00567456"/>
    <w:rsid w:val="00574F76"/>
    <w:rsid w:val="00577114"/>
    <w:rsid w:val="00580886"/>
    <w:rsid w:val="005851B3"/>
    <w:rsid w:val="0059545D"/>
    <w:rsid w:val="00596F92"/>
    <w:rsid w:val="005B767F"/>
    <w:rsid w:val="005C12B1"/>
    <w:rsid w:val="005D27B4"/>
    <w:rsid w:val="005D6F7D"/>
    <w:rsid w:val="00610A19"/>
    <w:rsid w:val="006120AE"/>
    <w:rsid w:val="00621DBA"/>
    <w:rsid w:val="00627AF4"/>
    <w:rsid w:val="00637037"/>
    <w:rsid w:val="006455F0"/>
    <w:rsid w:val="006462C7"/>
    <w:rsid w:val="00646C31"/>
    <w:rsid w:val="0064708D"/>
    <w:rsid w:val="0065463A"/>
    <w:rsid w:val="006621D4"/>
    <w:rsid w:val="00662C83"/>
    <w:rsid w:val="0067112F"/>
    <w:rsid w:val="006737A6"/>
    <w:rsid w:val="00683707"/>
    <w:rsid w:val="00692CCC"/>
    <w:rsid w:val="00697776"/>
    <w:rsid w:val="006A67EC"/>
    <w:rsid w:val="006A7054"/>
    <w:rsid w:val="006B09CC"/>
    <w:rsid w:val="006B1452"/>
    <w:rsid w:val="006B1623"/>
    <w:rsid w:val="006B2450"/>
    <w:rsid w:val="006B45DF"/>
    <w:rsid w:val="006C4B62"/>
    <w:rsid w:val="006D0FB2"/>
    <w:rsid w:val="006D29FC"/>
    <w:rsid w:val="006D7253"/>
    <w:rsid w:val="006E2926"/>
    <w:rsid w:val="006E3513"/>
    <w:rsid w:val="006E531C"/>
    <w:rsid w:val="00710E90"/>
    <w:rsid w:val="00711AAE"/>
    <w:rsid w:val="007329AC"/>
    <w:rsid w:val="0073611C"/>
    <w:rsid w:val="0074694D"/>
    <w:rsid w:val="00757ED3"/>
    <w:rsid w:val="007618EF"/>
    <w:rsid w:val="00783311"/>
    <w:rsid w:val="007869CC"/>
    <w:rsid w:val="00792E8D"/>
    <w:rsid w:val="00794D5A"/>
    <w:rsid w:val="007A392A"/>
    <w:rsid w:val="007B2066"/>
    <w:rsid w:val="007B4081"/>
    <w:rsid w:val="007B446E"/>
    <w:rsid w:val="007C2D8D"/>
    <w:rsid w:val="007D0D37"/>
    <w:rsid w:val="007D53CB"/>
    <w:rsid w:val="007D753D"/>
    <w:rsid w:val="007E20DD"/>
    <w:rsid w:val="007F1212"/>
    <w:rsid w:val="007F6D09"/>
    <w:rsid w:val="0080365F"/>
    <w:rsid w:val="0081105C"/>
    <w:rsid w:val="00811FFE"/>
    <w:rsid w:val="00814531"/>
    <w:rsid w:val="00815B7B"/>
    <w:rsid w:val="00845595"/>
    <w:rsid w:val="00851BD9"/>
    <w:rsid w:val="00857795"/>
    <w:rsid w:val="008613E5"/>
    <w:rsid w:val="0086277E"/>
    <w:rsid w:val="00863C39"/>
    <w:rsid w:val="00870102"/>
    <w:rsid w:val="008734DB"/>
    <w:rsid w:val="008777B2"/>
    <w:rsid w:val="00880E1B"/>
    <w:rsid w:val="008855CB"/>
    <w:rsid w:val="00897BD2"/>
    <w:rsid w:val="008A2394"/>
    <w:rsid w:val="008A39E9"/>
    <w:rsid w:val="008B260C"/>
    <w:rsid w:val="008B5BA0"/>
    <w:rsid w:val="008C33BA"/>
    <w:rsid w:val="008D0373"/>
    <w:rsid w:val="008D40BE"/>
    <w:rsid w:val="008D4FDB"/>
    <w:rsid w:val="008E3FF0"/>
    <w:rsid w:val="00905531"/>
    <w:rsid w:val="00942476"/>
    <w:rsid w:val="00956B8A"/>
    <w:rsid w:val="00957764"/>
    <w:rsid w:val="009713DB"/>
    <w:rsid w:val="00975339"/>
    <w:rsid w:val="00977759"/>
    <w:rsid w:val="00984102"/>
    <w:rsid w:val="00985AB5"/>
    <w:rsid w:val="00992788"/>
    <w:rsid w:val="00993694"/>
    <w:rsid w:val="00997E67"/>
    <w:rsid w:val="009A167D"/>
    <w:rsid w:val="009A6538"/>
    <w:rsid w:val="009B0902"/>
    <w:rsid w:val="009B227E"/>
    <w:rsid w:val="009B47CD"/>
    <w:rsid w:val="009C420F"/>
    <w:rsid w:val="009E09A0"/>
    <w:rsid w:val="009F0072"/>
    <w:rsid w:val="00A02A0B"/>
    <w:rsid w:val="00A05EC2"/>
    <w:rsid w:val="00A10971"/>
    <w:rsid w:val="00A10ADA"/>
    <w:rsid w:val="00A23E3A"/>
    <w:rsid w:val="00A30264"/>
    <w:rsid w:val="00A30EFA"/>
    <w:rsid w:val="00A3462C"/>
    <w:rsid w:val="00A3613F"/>
    <w:rsid w:val="00A43678"/>
    <w:rsid w:val="00A521F1"/>
    <w:rsid w:val="00A55C66"/>
    <w:rsid w:val="00A57BAE"/>
    <w:rsid w:val="00A60AFB"/>
    <w:rsid w:val="00A87B0D"/>
    <w:rsid w:val="00A97EA3"/>
    <w:rsid w:val="00AB252D"/>
    <w:rsid w:val="00AB3904"/>
    <w:rsid w:val="00AB3B35"/>
    <w:rsid w:val="00AB5314"/>
    <w:rsid w:val="00AC3D30"/>
    <w:rsid w:val="00AC46C4"/>
    <w:rsid w:val="00AC755F"/>
    <w:rsid w:val="00AC7D6B"/>
    <w:rsid w:val="00AD152D"/>
    <w:rsid w:val="00AD1F76"/>
    <w:rsid w:val="00AD31E0"/>
    <w:rsid w:val="00AE347F"/>
    <w:rsid w:val="00AE528B"/>
    <w:rsid w:val="00B018F3"/>
    <w:rsid w:val="00B07CA5"/>
    <w:rsid w:val="00B1512D"/>
    <w:rsid w:val="00B260F7"/>
    <w:rsid w:val="00B2620E"/>
    <w:rsid w:val="00B320F3"/>
    <w:rsid w:val="00B40F24"/>
    <w:rsid w:val="00B42676"/>
    <w:rsid w:val="00B4593D"/>
    <w:rsid w:val="00B57979"/>
    <w:rsid w:val="00B64330"/>
    <w:rsid w:val="00B6540E"/>
    <w:rsid w:val="00B664BE"/>
    <w:rsid w:val="00B95D9B"/>
    <w:rsid w:val="00BA00D2"/>
    <w:rsid w:val="00BA66CA"/>
    <w:rsid w:val="00BB57C3"/>
    <w:rsid w:val="00BC4E38"/>
    <w:rsid w:val="00BC5E74"/>
    <w:rsid w:val="00C00792"/>
    <w:rsid w:val="00C03614"/>
    <w:rsid w:val="00C04A09"/>
    <w:rsid w:val="00C064A4"/>
    <w:rsid w:val="00C13572"/>
    <w:rsid w:val="00C17B44"/>
    <w:rsid w:val="00C35DFF"/>
    <w:rsid w:val="00C47730"/>
    <w:rsid w:val="00C51A50"/>
    <w:rsid w:val="00C5375C"/>
    <w:rsid w:val="00C7547E"/>
    <w:rsid w:val="00C75D2B"/>
    <w:rsid w:val="00C7745F"/>
    <w:rsid w:val="00C8279F"/>
    <w:rsid w:val="00CA5187"/>
    <w:rsid w:val="00CB27BD"/>
    <w:rsid w:val="00CB31BA"/>
    <w:rsid w:val="00CB3CFD"/>
    <w:rsid w:val="00CC3C63"/>
    <w:rsid w:val="00CD033E"/>
    <w:rsid w:val="00CD22F0"/>
    <w:rsid w:val="00CE23FB"/>
    <w:rsid w:val="00CE24DC"/>
    <w:rsid w:val="00CE2F13"/>
    <w:rsid w:val="00CE6742"/>
    <w:rsid w:val="00D13E53"/>
    <w:rsid w:val="00D149E6"/>
    <w:rsid w:val="00D161F4"/>
    <w:rsid w:val="00D30112"/>
    <w:rsid w:val="00D424CE"/>
    <w:rsid w:val="00D44404"/>
    <w:rsid w:val="00D51BBD"/>
    <w:rsid w:val="00D60278"/>
    <w:rsid w:val="00D60E58"/>
    <w:rsid w:val="00D61CE9"/>
    <w:rsid w:val="00D655F1"/>
    <w:rsid w:val="00D7196C"/>
    <w:rsid w:val="00D80221"/>
    <w:rsid w:val="00D82C66"/>
    <w:rsid w:val="00DA0173"/>
    <w:rsid w:val="00DB3783"/>
    <w:rsid w:val="00DC285B"/>
    <w:rsid w:val="00DC7575"/>
    <w:rsid w:val="00DD7A4D"/>
    <w:rsid w:val="00DE53AC"/>
    <w:rsid w:val="00DF18C6"/>
    <w:rsid w:val="00DF30BE"/>
    <w:rsid w:val="00E02A04"/>
    <w:rsid w:val="00E043DB"/>
    <w:rsid w:val="00E16378"/>
    <w:rsid w:val="00E26C93"/>
    <w:rsid w:val="00E352F6"/>
    <w:rsid w:val="00E40FF1"/>
    <w:rsid w:val="00E41F9A"/>
    <w:rsid w:val="00E44E53"/>
    <w:rsid w:val="00E47EBE"/>
    <w:rsid w:val="00E52989"/>
    <w:rsid w:val="00E57C8A"/>
    <w:rsid w:val="00E74524"/>
    <w:rsid w:val="00E83628"/>
    <w:rsid w:val="00E859F5"/>
    <w:rsid w:val="00E92CD6"/>
    <w:rsid w:val="00E94762"/>
    <w:rsid w:val="00E956A8"/>
    <w:rsid w:val="00E96C34"/>
    <w:rsid w:val="00EA25F1"/>
    <w:rsid w:val="00ED04F0"/>
    <w:rsid w:val="00EF7EA5"/>
    <w:rsid w:val="00F12D51"/>
    <w:rsid w:val="00F2577A"/>
    <w:rsid w:val="00F26B2D"/>
    <w:rsid w:val="00F272BA"/>
    <w:rsid w:val="00F35892"/>
    <w:rsid w:val="00F60444"/>
    <w:rsid w:val="00F613BF"/>
    <w:rsid w:val="00F62D0B"/>
    <w:rsid w:val="00F63A76"/>
    <w:rsid w:val="00F76C33"/>
    <w:rsid w:val="00F85A63"/>
    <w:rsid w:val="00F9458F"/>
    <w:rsid w:val="00FA1FE3"/>
    <w:rsid w:val="00FA2542"/>
    <w:rsid w:val="00FB25DD"/>
    <w:rsid w:val="00FB2A0A"/>
    <w:rsid w:val="00FB4929"/>
    <w:rsid w:val="00FC169F"/>
    <w:rsid w:val="00FC25BA"/>
    <w:rsid w:val="00FC7872"/>
    <w:rsid w:val="00FD1A91"/>
    <w:rsid w:val="00FE456F"/>
    <w:rsid w:val="00FF59E2"/>
    <w:rsid w:val="08C622D9"/>
    <w:rsid w:val="4007153A"/>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99"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7">
    <w:name w:val="Default Paragraph Font"/>
    <w:semiHidden/>
    <w:uiPriority w:val="99"/>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15"/>
    <w:uiPriority w:val="99"/>
    <w:pPr>
      <w:spacing w:after="120"/>
    </w:pPr>
    <w:rPr>
      <w:rFonts w:eastAsia="宋体"/>
      <w:sz w:val="21"/>
      <w:szCs w:val="21"/>
    </w:r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locked/>
    <w:uiPriority w:val="9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Strong"/>
    <w:basedOn w:val="7"/>
    <w:qFormat/>
    <w:locked/>
    <w:uiPriority w:val="99"/>
    <w:rPr>
      <w:b/>
      <w:bCs/>
    </w:rPr>
  </w:style>
  <w:style w:type="character" w:styleId="9">
    <w:name w:val="page number"/>
    <w:basedOn w:val="7"/>
    <w:uiPriority w:val="99"/>
  </w:style>
  <w:style w:type="character" w:customStyle="1" w:styleId="10">
    <w:name w:val="Header Char"/>
    <w:basedOn w:val="7"/>
    <w:link w:val="4"/>
    <w:semiHidden/>
    <w:qFormat/>
    <w:locked/>
    <w:uiPriority w:val="99"/>
    <w:rPr>
      <w:rFonts w:eastAsia="仿宋_GB2312"/>
      <w:sz w:val="18"/>
      <w:szCs w:val="18"/>
    </w:rPr>
  </w:style>
  <w:style w:type="character" w:customStyle="1" w:styleId="11">
    <w:name w:val="Footer Char"/>
    <w:basedOn w:val="7"/>
    <w:link w:val="3"/>
    <w:semiHidden/>
    <w:qFormat/>
    <w:locked/>
    <w:uiPriority w:val="99"/>
    <w:rPr>
      <w:rFonts w:eastAsia="仿宋_GB2312"/>
      <w:sz w:val="18"/>
      <w:szCs w:val="18"/>
    </w:rPr>
  </w:style>
  <w:style w:type="paragraph" w:styleId="12">
    <w:name w:val="List Paragraph"/>
    <w:basedOn w:val="1"/>
    <w:qFormat/>
    <w:uiPriority w:val="99"/>
    <w:pPr>
      <w:ind w:firstLine="420" w:firstLineChars="200"/>
    </w:pPr>
  </w:style>
  <w:style w:type="paragraph" w:customStyle="1" w:styleId="13">
    <w:name w:val="文件标题"/>
    <w:basedOn w:val="1"/>
    <w:next w:val="1"/>
    <w:uiPriority w:val="99"/>
    <w:pPr>
      <w:widowControl/>
      <w:adjustRightInd w:val="0"/>
      <w:spacing w:line="288" w:lineRule="auto"/>
      <w:ind w:firstLine="200" w:firstLineChars="200"/>
      <w:jc w:val="center"/>
    </w:pPr>
    <w:rPr>
      <w:rFonts w:ascii="汉仪仿宋简" w:hAnsi="Calibri" w:eastAsia="汉仪仿宋简" w:cs="汉仪仿宋简"/>
      <w:color w:val="000000"/>
      <w:kern w:val="0"/>
      <w:lang w:eastAsia="en-US"/>
    </w:rPr>
  </w:style>
  <w:style w:type="paragraph" w:customStyle="1" w:styleId="14">
    <w:name w:val="文件正文"/>
    <w:basedOn w:val="1"/>
    <w:uiPriority w:val="99"/>
    <w:pPr>
      <w:widowControl/>
      <w:autoSpaceDE w:val="0"/>
      <w:autoSpaceDN w:val="0"/>
      <w:adjustRightInd w:val="0"/>
      <w:spacing w:line="288" w:lineRule="auto"/>
      <w:ind w:firstLine="601" w:firstLineChars="200"/>
      <w:jc w:val="left"/>
    </w:pPr>
    <w:rPr>
      <w:rFonts w:ascii="Calibri" w:hAnsi="Calibri" w:eastAsia="昆仑仿宋" w:cs="Calibri"/>
      <w:kern w:val="0"/>
      <w:lang w:eastAsia="en-US"/>
    </w:rPr>
  </w:style>
  <w:style w:type="character" w:customStyle="1" w:styleId="15">
    <w:name w:val="Body Text Char"/>
    <w:basedOn w:val="7"/>
    <w:link w:val="2"/>
    <w:locked/>
    <w:uiPriority w:val="99"/>
    <w:rPr>
      <w:kern w:val="2"/>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Company>微软中国</Company>
  <Pages>16</Pages>
  <Words>7803</Words>
  <Characters>7953</Characters>
  <Lines>0</Lines>
  <Paragraphs>0</Paragraphs>
  <TotalTime>734</TotalTime>
  <ScaleCrop>false</ScaleCrop>
  <LinksUpToDate>false</LinksUpToDate>
  <CharactersWithSpaces>7989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2018-01-03T08:34:00Z</dcterms:created>
  <dc:creator>打字室1 10.72.2.105</dc:creator>
  <cp:lastModifiedBy>Administrator</cp:lastModifiedBy>
  <cp:lastPrinted>2019-05-23T09:15:00Z</cp:lastPrinted>
  <dcterms:modified xsi:type="dcterms:W3CDTF">2025-04-29T07:25:24Z</dcterms:modified>
  <dc:title>《2018年民政部工作要点（征求意见稿）》已经部长办公会审议并原则通过，按照黄树贤部长批示，现印送与会代表征求意见，请于3日前将修改花脸稿交会务组（408房间）</dc:title>
  <cp:revision>116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20477A4B8D584D9D88194669BA58C905_13</vt:lpwstr>
  </property>
  <property fmtid="{D5CDD505-2E9C-101B-9397-08002B2CF9AE}" pid="4" name="KSOTemplateDocerSaveRecord">
    <vt:lpwstr>eyJoZGlkIjoiZDE2Mzk5MTBjMmFiMDY1MjE3M2Q4YTJkZTgyNDU5Y2YifQ==</vt:lpwstr>
  </property>
</Properties>
</file>