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78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3"/>
      </w:tblGrid>
      <w:tr w14:paraId="52C1F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3" w:type="dxa"/>
          </w:tcPr>
          <w:p w14:paraId="51EC63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spacing w:before="1280" w:beforeAutospacing="0" w:after="0" w:afterAutospacing="0" w:line="1400" w:lineRule="exact"/>
              <w:ind w:left="0" w:right="0" w:rightChars="0"/>
              <w:jc w:val="distribute"/>
              <w:rPr>
                <w:rFonts w:hint="default" w:ascii="Times New Roman" w:hAnsi="Times New Roman" w:eastAsia="方正大标宋简体" w:cs="Times New Roman"/>
                <w:color w:val="FFFFFF" w:themeColor="background1"/>
                <w:w w:val="66"/>
                <w:sz w:val="122"/>
                <w:szCs w:val="122"/>
                <w14:textFill>
                  <w14:solidFill>
                    <w14:schemeClr w14:val="bg1"/>
                  </w14:solidFill>
                </w14:textFill>
              </w:rPr>
            </w:pPr>
            <w:bookmarkStart w:id="0" w:name="_GoBack"/>
            <w:bookmarkEnd w:id="0"/>
            <w:r>
              <w:rPr>
                <w:sz w:val="1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-375920</wp:posOffset>
                      </wp:positionH>
                      <wp:positionV relativeFrom="paragraph">
                        <wp:posOffset>-319405</wp:posOffset>
                      </wp:positionV>
                      <wp:extent cx="2286000" cy="355600"/>
                      <wp:effectExtent l="0" t="0" r="0" b="635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099820" y="1083945"/>
                                <a:ext cx="2286000" cy="355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C91959">
                                  <w:pPr>
                                    <w:rPr>
                                      <w:rFonts w:hint="default" w:ascii="Times New Roman" w:hAnsi="Times New Roman" w:eastAsia="黑体" w:cs="Times New Roman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黑体" w:cs="Times New Roman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HNPR-2025-08030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9.6pt;margin-top:-25.15pt;height:28pt;width:180pt;z-index:251660288;mso-width-relative:page;mso-height-relative:page;" filled="f" stroked="f" coordsize="21600,21600" o:gfxdata="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X9E9a9oAAAAJAQAADwAAAAAAAAABACAA&#10;AAAiAAAAZHJzL2Rvd25yZXYueG1sUEsBAhQAFAAAAAgAh07iQJXSGxJEAgAAcgQAAA4AAAAAAAAA&#10;AQAgAAAAKQEAAGRycy9lMm9Eb2MueG1sUEsFBgAAAAAGAAYAWQEAAN8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79C91959">
                            <w:pPr>
                              <w:rPr>
                                <w:rFonts w:hint="default" w:ascii="Times New Roman" w:hAnsi="Times New Roman" w:eastAsia="黑体" w:cs="Times New Roman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黑体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HNPR-2025-08030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方正大标宋简体" w:cs="Times New Roman"/>
                <w:color w:val="FFFFFF" w:themeColor="background1"/>
                <w:w w:val="66"/>
                <w:sz w:val="122"/>
                <w:szCs w:val="122"/>
                <w14:textFill>
                  <w14:solidFill>
                    <w14:schemeClr w14:val="bg1"/>
                  </w14:solidFill>
                </w14:textFill>
              </w:rPr>
              <w:t>湖南省民政厅文件</w:t>
            </w:r>
          </w:p>
        </w:tc>
      </w:tr>
    </w:tbl>
    <w:p w14:paraId="50A2C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</w:rPr>
      </w:pPr>
    </w:p>
    <w:p w14:paraId="2DB58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</w:rPr>
      </w:pPr>
    </w:p>
    <w:tbl>
      <w:tblPr>
        <w:tblStyle w:val="10"/>
        <w:tblW w:w="9060" w:type="dxa"/>
        <w:jc w:val="center"/>
        <w:tblBorders>
          <w:top w:val="none" w:color="auto" w:sz="0" w:space="0"/>
          <w:left w:val="none" w:color="auto" w:sz="0" w:space="0"/>
          <w:bottom w:val="single" w:color="FFFFFF" w:themeColor="background1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5D06007">
        <w:tblPrEx>
          <w:tblBorders>
            <w:top w:val="none" w:color="auto" w:sz="0" w:space="0"/>
            <w:left w:val="none" w:color="auto" w:sz="0" w:space="0"/>
            <w:bottom w:val="single" w:color="FFFFFF" w:themeColor="background1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l2br w:val="nil"/>
              <w:tr2bl w:val="nil"/>
            </w:tcBorders>
          </w:tcPr>
          <w:p w14:paraId="005A3E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湘民发〔</w:t>
            </w: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〕</w:t>
            </w: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52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号</w:t>
            </w:r>
          </w:p>
        </w:tc>
      </w:tr>
    </w:tbl>
    <w:p w14:paraId="7B119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20" w:firstLineChars="200"/>
        <w:jc w:val="center"/>
        <w:textAlignment w:val="auto"/>
        <w:outlineLvl w:val="9"/>
        <w:rPr>
          <w:rFonts w:hint="default" w:ascii="Times New Roman" w:hAnsi="Times New Roman" w:cs="Times New Roman"/>
        </w:rPr>
      </w:pPr>
    </w:p>
    <w:p w14:paraId="6C2938DD">
      <w:pPr>
        <w:pStyle w:val="3"/>
        <w:widowControl w:val="0"/>
        <w:spacing w:before="0" w:after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  <w:t>湖南省民政厅关于印发《湖南省社会组织信用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  <w:t>评价</w:t>
      </w:r>
      <w:r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  <w:t>管理办法（试行）》的通知</w:t>
      </w:r>
    </w:p>
    <w:p w14:paraId="412EB6B8">
      <w:pPr>
        <w:pStyle w:val="9"/>
        <w:widowControl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 w14:paraId="1A88FFAE">
      <w:pPr>
        <w:pStyle w:val="9"/>
        <w:widowControl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各省级社会组织业务主管单位、行业管理部门，各市州、县市区民政局，各相关社会组织：</w:t>
      </w:r>
    </w:p>
    <w:p w14:paraId="7BC9912E">
      <w:pPr>
        <w:pStyle w:val="9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现将《湖南省社会组织信用</w:t>
      </w:r>
      <w:r>
        <w:rPr>
          <w:rFonts w:hint="eastAsia" w:ascii="Times New Roman" w:hAnsi="Times New Roman" w:eastAsia="仿宋_GB2312"/>
          <w:sz w:val="32"/>
          <w:szCs w:val="32"/>
        </w:rPr>
        <w:t>评价</w:t>
      </w:r>
      <w:r>
        <w:rPr>
          <w:rFonts w:ascii="Times New Roman" w:hAnsi="Times New Roman" w:eastAsia="仿宋_GB2312"/>
          <w:sz w:val="32"/>
          <w:szCs w:val="32"/>
        </w:rPr>
        <w:t>管理办法（试行）》印发给你们，请结合工作实际，认真组织实施。</w:t>
      </w:r>
    </w:p>
    <w:p w14:paraId="0E3FB719">
      <w:pPr>
        <w:pStyle w:val="9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</w:p>
    <w:p w14:paraId="7602E9EE">
      <w:pPr>
        <w:pStyle w:val="9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</w:p>
    <w:p w14:paraId="2E68EB6A">
      <w:pPr>
        <w:pStyle w:val="9"/>
        <w:widowControl/>
        <w:spacing w:before="0" w:beforeAutospacing="0" w:after="0" w:afterAutospacing="0" w:line="560" w:lineRule="exact"/>
        <w:ind w:left="0" w:leftChars="0" w:firstLine="3318" w:firstLineChars="1037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湖南省民政厅</w:t>
      </w:r>
    </w:p>
    <w:p w14:paraId="646FEC7F">
      <w:pPr>
        <w:pStyle w:val="9"/>
        <w:widowControl/>
        <w:spacing w:before="0" w:beforeAutospacing="0" w:after="0" w:afterAutospacing="0" w:line="560" w:lineRule="exact"/>
        <w:ind w:left="0" w:leftChars="0" w:firstLine="3318" w:firstLineChars="1037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2025年12月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 w14:paraId="4670DD3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/>
        <w:textAlignment w:val="auto"/>
        <w:rPr>
          <w:rFonts w:hint="default" w:ascii="Times New Roman" w:hAnsi="Times New Roman" w:cs="Times New Roman"/>
        </w:rPr>
      </w:pPr>
    </w:p>
    <w:p w14:paraId="1DAAF361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br w:type="page"/>
      </w:r>
    </w:p>
    <w:p w14:paraId="30B9675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湖南省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社会组织信用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评价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管理办法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（试行）</w:t>
      </w:r>
    </w:p>
    <w:p w14:paraId="036B340A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黑体" w:cs="Times New Roman"/>
          <w:b w:val="0"/>
          <w:sz w:val="32"/>
          <w:szCs w:val="32"/>
        </w:rPr>
      </w:pPr>
    </w:p>
    <w:p w14:paraId="0F1BEA35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sz w:val="32"/>
          <w:szCs w:val="32"/>
        </w:rPr>
        <w:t>第一章  总则</w:t>
      </w:r>
    </w:p>
    <w:p w14:paraId="482E92D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第一条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为推进全省社会组织信用体系建设，创新社会组织监管方式，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提升监管效能，助力优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化营商环境，根据《中共中央办公厅 国务院办公厅关于健全社会信用体系的意见》《社会组织信用信息管理办法》《湖南省社会信用条例》及全省社会信用体系建设有关规定，结合本省实际，制定本办法。</w:t>
      </w:r>
    </w:p>
    <w:p w14:paraId="546F6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 xml:space="preserve">第二条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本办法适用于对全省各级民政部门依法登记的社会团体、民办非企业单位（社会服务机构）、基金会开展信用评价，并依据信用评价结果实行分级分类管理。</w:t>
      </w:r>
    </w:p>
    <w:p w14:paraId="40AFE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>第三条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本办法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所称社会组织信用评价管理，是指全省各级民政部门依法履行社会组织登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记管理职责，根据社会组织日常监管中产生的信用信息和共享获取的信用信息，对社会组织开展信用评价分级、评价结果发布，并依据评价结果依法依规实施差异化、精细化分类管理。</w:t>
      </w:r>
    </w:p>
    <w:p w14:paraId="4E98B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 xml:space="preserve">第四条 </w:t>
      </w: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  <w:lang w:bidi="ar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开展社会组织信用评价管理，应遵循依法依规、公开公正、标准统一、分级负责、信息共享、适时更新、奖优罚劣的原则。</w:t>
      </w:r>
    </w:p>
    <w:p w14:paraId="01D64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 xml:space="preserve">第五条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各级民政部门应当按照</w:t>
      </w:r>
      <w:r>
        <w:rPr>
          <w:rFonts w:hint="eastAsia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社会组织信用信息管理办法</w:t>
      </w:r>
      <w:r>
        <w:rPr>
          <w:rFonts w:hint="eastAsia" w:eastAsia="仿宋_GB2312" w:cs="Times New Roman"/>
          <w:sz w:val="32"/>
          <w:szCs w:val="32"/>
          <w:lang w:eastAsia="zh-CN"/>
        </w:rPr>
        <w:t>》有关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规定，及时将社会组织信用信息录入湖南省社会组织管理系统，可采取其他恰当方式及时予以采集补充。</w:t>
      </w:r>
    </w:p>
    <w:p w14:paraId="3EB9261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beforeAutospacing="0" w:after="120" w:afterLines="50" w:afterAutospacing="0"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黑体" w:cs="Times New Roman"/>
          <w:b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sz w:val="32"/>
          <w:szCs w:val="32"/>
        </w:rPr>
        <w:t>第二章  信用评价与分级</w:t>
      </w:r>
    </w:p>
    <w:p w14:paraId="52823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>第六条</w:t>
      </w: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  <w:lang w:bidi="ar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各级民政部门牵头组织开展社会组织信用评价管理工作，以《</w:t>
      </w:r>
      <w:r>
        <w:rPr>
          <w:rFonts w:hint="eastAsia" w:eastAsia="仿宋_GB2312" w:cs="Times New Roman"/>
          <w:sz w:val="32"/>
          <w:szCs w:val="32"/>
          <w:lang w:eastAsia="zh-CN"/>
        </w:rPr>
        <w:t>全国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公共信用信息</w:t>
      </w:r>
      <w:r>
        <w:rPr>
          <w:rFonts w:hint="eastAsia" w:eastAsia="仿宋_GB2312" w:cs="Times New Roman"/>
          <w:sz w:val="32"/>
          <w:szCs w:val="32"/>
          <w:lang w:eastAsia="zh-CN"/>
        </w:rPr>
        <w:t>基础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目录（2025年版）》为基础，依托</w:t>
      </w:r>
      <w:r>
        <w:rPr>
          <w:rFonts w:hint="eastAsia" w:ascii="仿宋_GB2312" w:hAnsi="仿宋_GB2312" w:eastAsia="仿宋_GB2312" w:cs="仿宋_GB2312"/>
          <w:sz w:val="32"/>
          <w:szCs w:val="32"/>
        </w:rPr>
        <w:t>“信用湖南”一体化平台和湖南省社会组织管理系统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归集共享的信用信息，采用定性分析与定量分析相结合方法，对社会组织信用状况进行量化，确定信用等级，并以数值、符号、文字等形式记录的管理活动。</w:t>
      </w:r>
    </w:p>
    <w:p w14:paraId="3A958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 xml:space="preserve">第七条 </w:t>
      </w: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  <w:lang w:bidi="ar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从社会组织诚信建设、社会责任、日常监管、遵纪守法等维度，建立湖南省社会组织信用评价体系。</w:t>
      </w:r>
    </w:p>
    <w:p w14:paraId="26070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>第八条</w:t>
      </w: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  <w:lang w:bidi="ar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全省各级民政部门使用统一的评价等级和计分规则。社会组织信用评价计分规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则为：按照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《湖南省社会组织信用评价指标》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（附件）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进行计分，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基础分值设置为70分，分值上限为100分，下限为0分。分值到达上限后，不再加分；到达下限后，不再减分。信用分值由基础分值、加分分值、减分分值组成。计算公式为：信用分值=基础分值+加分分值-减分分值。</w:t>
      </w:r>
    </w:p>
    <w:p w14:paraId="18FDC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>根据湖南省社会信用分级分类管理有关规定，将社会组织信用评价等级分为四等级，分类具体划分标准详见下表：</w:t>
      </w:r>
    </w:p>
    <w:tbl>
      <w:tblPr>
        <w:tblStyle w:val="10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2035"/>
        <w:gridCol w:w="3203"/>
        <w:gridCol w:w="3797"/>
      </w:tblGrid>
      <w:tr w14:paraId="10ED9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blHeader/>
          <w:jc w:val="center"/>
        </w:trPr>
        <w:tc>
          <w:tcPr>
            <w:tcW w:w="2035" w:type="dxa"/>
            <w:vAlign w:val="center"/>
          </w:tcPr>
          <w:p w14:paraId="7FAA2ED3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  <w:t>等次</w:t>
            </w:r>
          </w:p>
        </w:tc>
        <w:tc>
          <w:tcPr>
            <w:tcW w:w="3203" w:type="dxa"/>
            <w:vAlign w:val="center"/>
          </w:tcPr>
          <w:p w14:paraId="6B82DFC9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  <w:t>等级</w:t>
            </w:r>
          </w:p>
        </w:tc>
        <w:tc>
          <w:tcPr>
            <w:tcW w:w="3797" w:type="dxa"/>
            <w:vAlign w:val="center"/>
          </w:tcPr>
          <w:p w14:paraId="5ABEF041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  <w:t>评分区间</w:t>
            </w:r>
          </w:p>
        </w:tc>
      </w:tr>
      <w:tr w14:paraId="6BEEA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35" w:type="dxa"/>
            <w:vAlign w:val="center"/>
          </w:tcPr>
          <w:p w14:paraId="58A03992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优</w:t>
            </w:r>
          </w:p>
        </w:tc>
        <w:tc>
          <w:tcPr>
            <w:tcW w:w="3203" w:type="dxa"/>
            <w:vAlign w:val="center"/>
          </w:tcPr>
          <w:p w14:paraId="7DB8620A">
            <w:pPr>
              <w:adjustRightInd w:val="0"/>
              <w:snapToGrid w:val="0"/>
              <w:spacing w:line="560" w:lineRule="exact"/>
              <w:ind w:firstLine="1400" w:firstLineChars="50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797" w:type="dxa"/>
            <w:vAlign w:val="center"/>
          </w:tcPr>
          <w:p w14:paraId="02771D0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85&lt;X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"/>
              </w:rPr>
              <w:t>≤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2B3B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035" w:type="dxa"/>
            <w:vAlign w:val="center"/>
          </w:tcPr>
          <w:p w14:paraId="60ADACD5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良</w:t>
            </w:r>
          </w:p>
        </w:tc>
        <w:tc>
          <w:tcPr>
            <w:tcW w:w="3203" w:type="dxa"/>
            <w:vAlign w:val="center"/>
          </w:tcPr>
          <w:p w14:paraId="734FDFE6">
            <w:pPr>
              <w:adjustRightInd w:val="0"/>
              <w:snapToGrid w:val="0"/>
              <w:spacing w:line="560" w:lineRule="exact"/>
              <w:ind w:firstLine="1400" w:firstLineChars="50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3797" w:type="dxa"/>
            <w:vAlign w:val="center"/>
          </w:tcPr>
          <w:p w14:paraId="63685A1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70&lt;X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"/>
              </w:rPr>
              <w:t>≤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14:paraId="35323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035" w:type="dxa"/>
            <w:vAlign w:val="center"/>
          </w:tcPr>
          <w:p w14:paraId="4ECA6C02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中</w:t>
            </w:r>
          </w:p>
        </w:tc>
        <w:tc>
          <w:tcPr>
            <w:tcW w:w="3203" w:type="dxa"/>
            <w:vAlign w:val="center"/>
          </w:tcPr>
          <w:p w14:paraId="149A65B1">
            <w:pPr>
              <w:widowControl/>
              <w:snapToGrid w:val="0"/>
              <w:spacing w:line="560" w:lineRule="exact"/>
              <w:ind w:firstLine="1400" w:firstLineChars="50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3797" w:type="dxa"/>
            <w:vAlign w:val="center"/>
          </w:tcPr>
          <w:p w14:paraId="3ED78BA5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40&lt;X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"/>
              </w:rPr>
              <w:t>≤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14:paraId="55AB1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035" w:type="dxa"/>
            <w:vAlign w:val="center"/>
          </w:tcPr>
          <w:p w14:paraId="29EBF65C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差</w:t>
            </w:r>
          </w:p>
        </w:tc>
        <w:tc>
          <w:tcPr>
            <w:tcW w:w="3203" w:type="dxa"/>
            <w:vAlign w:val="center"/>
          </w:tcPr>
          <w:p w14:paraId="0A0B2404">
            <w:pPr>
              <w:adjustRightInd w:val="0"/>
              <w:snapToGrid w:val="0"/>
              <w:spacing w:line="560" w:lineRule="exact"/>
              <w:ind w:firstLine="1400" w:firstLineChars="50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3797" w:type="dxa"/>
            <w:vAlign w:val="center"/>
          </w:tcPr>
          <w:p w14:paraId="289432D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"/>
              </w:rPr>
              <w:t>≤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X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"/>
              </w:rPr>
              <w:t>≤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14:paraId="2C2E1DF5">
      <w:pPr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 xml:space="preserve">第九条 </w:t>
      </w: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  <w:lang w:bidi="ar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社会组织信用评价按自然年度实施，即每年1月1日至12月31日。评价工作于次年9月启动，12月31日前完成。</w:t>
      </w:r>
    </w:p>
    <w:p w14:paraId="2A035FF7">
      <w:pPr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>第十条</w:t>
      </w: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  <w:lang w:bidi="ar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各级民政部门通过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“信用中国（湖南）”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网站和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湖南省社会组织管理系统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主动公开A级和D级社会组织名单。</w:t>
      </w:r>
    </w:p>
    <w:p w14:paraId="2422A2D9">
      <w:pPr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>第十一条</w:t>
      </w: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  <w:lang w:bidi="ar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级民政部门在完成信用评价后，应于5个工作日内将评价结果推送至省社会信用信息共享平台。推送内容包括：（一）信用主体名称；（二）统一社会信用代码；（三）评价时间；（四）评价单位；（五）评价等次和评价分值。</w:t>
      </w:r>
    </w:p>
    <w:p w14:paraId="168B9CF0">
      <w:pPr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>第十二条</w:t>
      </w: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  <w:lang w:bidi="ar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社会组织可以通过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“信用中国（湖南）”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网站或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湖南省社会组织管理系统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等渠道查询自身社会信用等级，有权知晓与信用等级相关的社会信用信息的征集、使用等情况。</w:t>
      </w:r>
    </w:p>
    <w:p w14:paraId="40ED9A37">
      <w:pPr>
        <w:pStyle w:val="4"/>
        <w:spacing w:before="120" w:beforeLines="50" w:beforeAutospacing="0" w:after="120" w:afterLines="50" w:afterAutospacing="0" w:line="580" w:lineRule="exact"/>
        <w:jc w:val="center"/>
        <w:rPr>
          <w:rFonts w:hint="default" w:ascii="Times New Roman" w:hAnsi="Times New Roman" w:eastAsia="黑体" w:cs="Times New Roman"/>
          <w:b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sz w:val="32"/>
          <w:szCs w:val="32"/>
        </w:rPr>
        <w:t>第三章 信用分级分类结果运用</w:t>
      </w:r>
    </w:p>
    <w:p w14:paraId="58CCB6A3">
      <w:pPr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 xml:space="preserve">第十三条 </w:t>
      </w: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  <w:lang w:bidi="ar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各级民政部门依据社会组织信用评价结果实施分级分类监督管理</w:t>
      </w:r>
      <w:r>
        <w:rPr>
          <w:rFonts w:hint="eastAsia" w:eastAsia="仿宋_GB2312" w:cs="Times New Roman"/>
          <w:sz w:val="32"/>
          <w:szCs w:val="32"/>
          <w:lang w:eastAsia="zh-CN"/>
        </w:rPr>
        <w:t>：</w:t>
      </w:r>
    </w:p>
    <w:p w14:paraId="6E38D796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对A级社会组织，实施激励性监督管理。以社会组织依法依章程自我管理为主，在“双随机、一公开”监管中，适当降低抽取比例和检查频次，除专项整治、投诉举报核实等情形外，原则上不主动开展现场检查。</w:t>
      </w:r>
    </w:p>
    <w:p w14:paraId="5BD001C5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（二）对B级社会组织，实施常规性监督管理。按常规抽查比例和频次纳入“双随机、一公开”抽查范围，对被抽中的社会组织开展现场检查。</w:t>
      </w:r>
    </w:p>
    <w:p w14:paraId="699CA238">
      <w:pPr>
        <w:pStyle w:val="7"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（三）对C级社会组织，实施警示性监督管理。适当提高“双随机、一公开”抽查比例和频次，适当加强现场检查；在开展相关专项治理行动时列为重点关注对象。</w:t>
      </w:r>
    </w:p>
    <w:p w14:paraId="35F91837">
      <w:pPr>
        <w:pStyle w:val="7"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（四）对D级社会组织，实施严格监督管理。将其列为重点监管对象，大幅提高“双随机、一公开”抽查比例和频次，必要时可实施全覆盖现场检查；在开展相关专项治理行动时列为严格监管对象。</w:t>
      </w:r>
    </w:p>
    <w:p w14:paraId="0CF7F7D8">
      <w:pPr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 xml:space="preserve">第十四条 </w:t>
      </w: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  <w:lang w:bidi="ar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对A级社会组织，各级民政部门应当联合相关部门采取以下激励性措施：</w:t>
      </w:r>
    </w:p>
    <w:p w14:paraId="6E8FD431">
      <w:pPr>
        <w:pStyle w:val="7"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（一）在办理行政许可、备案审批、社会组织法定代表人离任审计、注销清算审计、年度检查（年度报告）事项时，可提供容缺受理、告知承诺、优化程序、快捷办理等便利措施；</w:t>
      </w:r>
    </w:p>
    <w:p w14:paraId="4710DE54">
      <w:pPr>
        <w:pStyle w:val="7"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</w:t>
      </w:r>
      <w:r>
        <w:rPr>
          <w:rFonts w:hint="eastAsia" w:eastAsia="仿宋_GB2312" w:cs="Times New Roman"/>
          <w:sz w:val="32"/>
          <w:szCs w:val="32"/>
          <w:lang w:eastAsia="zh-CN"/>
        </w:rPr>
        <w:t>同等条件下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优先承接政府购买服务和委托事项，在编制承接政府购买服务推荐性目录时，</w:t>
      </w:r>
      <w:r>
        <w:rPr>
          <w:rFonts w:hint="eastAsia" w:eastAsia="仿宋_GB2312" w:cs="Times New Roman"/>
          <w:sz w:val="32"/>
          <w:szCs w:val="32"/>
          <w:lang w:eastAsia="zh-CN"/>
        </w:rPr>
        <w:t>同等条件下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优先从A级社会组织中产生；</w:t>
      </w:r>
    </w:p>
    <w:p w14:paraId="4F2F0A36">
      <w:pPr>
        <w:pStyle w:val="7"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</w:t>
      </w:r>
      <w:r>
        <w:rPr>
          <w:rFonts w:hint="eastAsia" w:eastAsia="仿宋_GB2312" w:cs="Times New Roman"/>
          <w:sz w:val="32"/>
          <w:szCs w:val="32"/>
          <w:lang w:eastAsia="zh-CN"/>
        </w:rPr>
        <w:t>同等条件下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优先获得资金资助和政策扶持；</w:t>
      </w:r>
    </w:p>
    <w:p w14:paraId="24BD4F2E">
      <w:pPr>
        <w:pStyle w:val="7"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</w:t>
      </w:r>
      <w:r>
        <w:rPr>
          <w:rFonts w:hint="eastAsia" w:eastAsia="仿宋_GB2312" w:cs="Times New Roman"/>
          <w:sz w:val="32"/>
          <w:szCs w:val="32"/>
          <w:lang w:eastAsia="zh-CN"/>
        </w:rPr>
        <w:t>同等条件下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优先推荐获得相关表彰和激励；</w:t>
      </w:r>
    </w:p>
    <w:p w14:paraId="58FF18B2">
      <w:pPr>
        <w:pStyle w:val="7"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（五）国家或地方规定的其他激励性措施。</w:t>
      </w:r>
    </w:p>
    <w:p w14:paraId="3CD87860">
      <w:pPr>
        <w:pStyle w:val="7"/>
        <w:spacing w:line="58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 xml:space="preserve">第十五条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对B级社会组织，各级民政部门应当联合相关部门加强日常监督和指导，通过警示提醒、政策辅导等方式，督促其规范内部治理，提升信用水平。</w:t>
      </w:r>
    </w:p>
    <w:p w14:paraId="72838793">
      <w:pPr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 xml:space="preserve">第十六条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对C级社会组织，各级民政部门应当联合相关部门依法依规采取以下</w:t>
      </w:r>
      <w:r>
        <w:rPr>
          <w:rFonts w:hint="eastAsia" w:eastAsia="仿宋_GB2312" w:cs="Times New Roman"/>
          <w:sz w:val="32"/>
          <w:szCs w:val="32"/>
          <w:lang w:eastAsia="zh-CN"/>
        </w:rPr>
        <w:t>监管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措施：</w:t>
      </w:r>
    </w:p>
    <w:p w14:paraId="5698C44F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（一）在办理行政许可、行政备案、行政确认、重大事项报告、离任注销清算审计、年度检查（年度报告）等事项时，列为重点审查对象；</w:t>
      </w:r>
    </w:p>
    <w:p w14:paraId="31FCAA62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（二）开展负责人约谈，并责令其限期完成整改；</w:t>
      </w:r>
    </w:p>
    <w:p w14:paraId="4CA892EB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（三）限制其承接政府授权和委托事项；</w:t>
      </w:r>
    </w:p>
    <w:p w14:paraId="0C85958B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（四）在评优评先活动中，暂缓推荐；</w:t>
      </w:r>
    </w:p>
    <w:p w14:paraId="097A26C4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（五）针对相关问题开展指导培训；</w:t>
      </w:r>
    </w:p>
    <w:p w14:paraId="6B4C0415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（六）国家或地方规定的其他监管措施。</w:t>
      </w:r>
    </w:p>
    <w:p w14:paraId="7EB48841">
      <w:pPr>
        <w:pStyle w:val="7"/>
        <w:spacing w:line="58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 xml:space="preserve">第十七条 </w:t>
      </w: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  <w:lang w:bidi="ar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对D级社会组织，各级民政部门应当联合相关部门依法依规采取以下</w:t>
      </w:r>
      <w:r>
        <w:rPr>
          <w:rFonts w:hint="eastAsia" w:eastAsia="仿宋_GB2312" w:cs="Times New Roman"/>
          <w:sz w:val="32"/>
          <w:szCs w:val="32"/>
          <w:lang w:eastAsia="zh-CN"/>
        </w:rPr>
        <w:t>监管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措施：</w:t>
      </w:r>
    </w:p>
    <w:p w14:paraId="761F51A5">
      <w:pPr>
        <w:pStyle w:val="7"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（一）限制申请财政性资金安排和项目支持；</w:t>
      </w:r>
    </w:p>
    <w:p w14:paraId="7CB026C0">
      <w:pPr>
        <w:pStyle w:val="7"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（二）限制参与有关公共资源交易活动；</w:t>
      </w:r>
    </w:p>
    <w:p w14:paraId="6A63C0ED">
      <w:pPr>
        <w:pStyle w:val="7"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（三）限制参与基础设施和公用事业特许经营活动；</w:t>
      </w:r>
    </w:p>
    <w:p w14:paraId="0DFF6570">
      <w:pPr>
        <w:pStyle w:val="7"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（四）取消、限制获得表彰奖励；</w:t>
      </w:r>
    </w:p>
    <w:p w14:paraId="1A1C0A1E">
      <w:pPr>
        <w:pStyle w:val="7"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）作为取消或降低社会组织评估等级的重要参考；</w:t>
      </w:r>
    </w:p>
    <w:p w14:paraId="49DDF233">
      <w:pPr>
        <w:pStyle w:val="7"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）国家或地方规定的其他监管措施。</w:t>
      </w:r>
    </w:p>
    <w:p w14:paraId="5DE10D13">
      <w:pPr>
        <w:pStyle w:val="4"/>
        <w:numPr>
          <w:ilvl w:val="0"/>
          <w:numId w:val="1"/>
        </w:numPr>
        <w:spacing w:before="120" w:beforeLines="50" w:beforeAutospacing="0" w:after="120" w:afterLines="50" w:afterAutospacing="0" w:line="580" w:lineRule="exact"/>
        <w:jc w:val="center"/>
        <w:rPr>
          <w:rFonts w:hint="default" w:ascii="Times New Roman" w:hAnsi="Times New Roman" w:eastAsia="黑体" w:cs="Times New Roman"/>
          <w:b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sz w:val="32"/>
          <w:szCs w:val="32"/>
        </w:rPr>
        <w:t xml:space="preserve"> 权益保护和异议处理</w:t>
      </w:r>
    </w:p>
    <w:p w14:paraId="781A88F3">
      <w:pPr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 xml:space="preserve">第十八条 </w:t>
      </w: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  <w:lang w:bidi="ar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各级民政部门应当加强社会组织信用信息安全防护，不得篡改、虚构、删除、泄露、滥用信用信息。畅通投诉举报渠道，规范受理、检查、处理、反馈等工作流程和机制。</w:t>
      </w:r>
    </w:p>
    <w:p w14:paraId="49BFB6B8">
      <w:pPr>
        <w:spacing w:line="58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 xml:space="preserve">第十九条 </w:t>
      </w: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  <w:lang w:bidi="ar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社会组织信用等级实行动态管理。各级民政部门发现社会组织不符合当前信用等级情形的，应当及时进行调整。</w:t>
      </w:r>
    </w:p>
    <w:p w14:paraId="278122A8">
      <w:pPr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 xml:space="preserve">第二十条 </w:t>
      </w: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  <w:lang w:bidi="ar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社会组织对自身信用信息或信用等级评价结果有异议的，可以通过线上，即在</w:t>
      </w:r>
      <w:r>
        <w:rPr>
          <w:rFonts w:hint="eastAsia" w:ascii="仿宋_GB2312" w:hAnsi="仿宋_GB2312" w:eastAsia="仿宋_GB2312" w:cs="仿宋_GB2312"/>
          <w:sz w:val="32"/>
          <w:szCs w:val="32"/>
        </w:rPr>
        <w:t>“信用中国（湖南）”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网站、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湖南省社会组织管理系统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或线下提交异议申请，并提供相关佐证材料。</w:t>
      </w:r>
    </w:p>
    <w:p w14:paraId="25DEC0B4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作出信用评价的民政部门应在收到申请之日起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个工作日</w:t>
      </w:r>
      <w:r>
        <w:rPr>
          <w:rFonts w:hint="eastAsia" w:eastAsia="仿宋_GB2312" w:cs="Times New Roman"/>
          <w:sz w:val="32"/>
          <w:szCs w:val="32"/>
          <w:lang w:eastAsia="zh-CN"/>
        </w:rPr>
        <w:t>内进行核查处置。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经核实，原信用等级评价结果确与事实不符的，民政部门应当予以修正并将结果告知申请人，同步更新至</w:t>
      </w:r>
      <w:r>
        <w:rPr>
          <w:rFonts w:hint="eastAsia" w:ascii="仿宋_GB2312" w:hAnsi="仿宋_GB2312" w:eastAsia="仿宋_GB2312" w:cs="仿宋_GB2312"/>
          <w:sz w:val="32"/>
          <w:szCs w:val="32"/>
        </w:rPr>
        <w:t>“信用湖南”一体化平台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和湖南省社会组织管理系统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1FA0565D">
      <w:pPr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>第二十一条</w:t>
      </w: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  <w:lang w:bidi="ar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组织信用等级确定满6个月，且主动完成纠正提升的，可以向所在地的民政部门申请信用等级提升认定，并提交相关佐证材料，经民政部门审查符合条件的，确认提升后的信用等级，并按新的信用等级进行后续管理。因被撤销登记或吊销登记证书列入D级的社会组织，不得申请信用等级提升认定。已办理注销登记的社会组织，民政部门应在注销之日起5个工作日内将其移出信用分级公示名单。</w:t>
      </w:r>
    </w:p>
    <w:p w14:paraId="65D2B690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社会组织申请等级提升认定应提交以下基本资料：</w:t>
      </w:r>
    </w:p>
    <w:p w14:paraId="29051E70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（一）等级提升申请书；</w:t>
      </w:r>
    </w:p>
    <w:p w14:paraId="27141D7D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（二）提交已履行相关义务或者完成整改要求的佐证资料；</w:t>
      </w:r>
    </w:p>
    <w:p w14:paraId="6E9EBB34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（三）列入D级的社会组织所依据的行政处罚决定、撤销登记决定或“失信被执行人名单”被依法撤销或者删除的文件。</w:t>
      </w:r>
    </w:p>
    <w:p w14:paraId="1470AE7A">
      <w:pPr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 xml:space="preserve">第二十二条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各级民政部门要做好社会组织信用监管工作的宣传指导，及时做好政策宣传解读工作，提高社会组织对信用</w:t>
      </w:r>
      <w:r>
        <w:rPr>
          <w:rFonts w:hint="eastAsia" w:eastAsia="仿宋_GB2312" w:cs="Times New Roman"/>
          <w:sz w:val="32"/>
          <w:szCs w:val="32"/>
          <w:lang w:eastAsia="zh-CN"/>
        </w:rPr>
        <w:t>评价管理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的知晓度，营造诚实守信的良好氛围，推动社会组织高质量发展。</w:t>
      </w:r>
    </w:p>
    <w:p w14:paraId="57B35025">
      <w:pPr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 xml:space="preserve">第二十三条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相关工作人员在开展社会组织信用管理工作中违反本办法规定的，依法依规给予纪律处分或行政处分；构成犯罪的，依法追究刑事责任。</w:t>
      </w:r>
    </w:p>
    <w:p w14:paraId="6FD5A2E0">
      <w:pPr>
        <w:pStyle w:val="4"/>
        <w:spacing w:before="120" w:beforeLines="50" w:beforeAutospacing="0" w:after="120" w:afterLines="50" w:afterAutospacing="0" w:line="580" w:lineRule="exact"/>
        <w:jc w:val="center"/>
        <w:rPr>
          <w:rFonts w:hint="default" w:ascii="Times New Roman" w:hAnsi="Times New Roman" w:eastAsia="黑体" w:cs="Times New Roman"/>
          <w:b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sz w:val="32"/>
          <w:szCs w:val="32"/>
        </w:rPr>
        <w:t>第五章  附则</w:t>
      </w:r>
    </w:p>
    <w:p w14:paraId="6B5A75BA">
      <w:pPr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>第二十</w:t>
      </w:r>
      <w:r>
        <w:rPr>
          <w:rFonts w:hint="eastAsia" w:eastAsia="楷体_GB2312" w:cs="Times New Roman"/>
          <w:b/>
          <w:bCs/>
          <w:kern w:val="0"/>
          <w:sz w:val="32"/>
          <w:szCs w:val="32"/>
          <w:lang w:val="en-US" w:eastAsia="zh-CN" w:bidi="ar"/>
        </w:rPr>
        <w:t>四</w:t>
      </w: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 xml:space="preserve">条 </w:t>
      </w: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  <w:lang w:bidi="ar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本办法自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2026年2月1日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起施行</w:t>
      </w:r>
      <w:r>
        <w:rPr>
          <w:rFonts w:hint="eastAsia" w:eastAsia="仿宋_GB2312" w:cs="Times New Roman"/>
          <w:sz w:val="32"/>
          <w:szCs w:val="32"/>
          <w:lang w:eastAsia="zh-CN"/>
        </w:rPr>
        <w:t>，有效期限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2年。</w:t>
      </w:r>
    </w:p>
    <w:p w14:paraId="52AEF85B"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71CC502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附件：湖南省社会组织信用评价指标</w:t>
      </w:r>
    </w:p>
    <w:p w14:paraId="7C3D4957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069D492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3D7C290">
      <w:pPr>
        <w:suppressAutoHyphens/>
        <w:overflowPunct w:val="0"/>
        <w:topLinePunct/>
        <w:spacing w:line="560" w:lineRule="exact"/>
        <w:textAlignment w:val="baseline"/>
        <w:rPr>
          <w:rFonts w:hint="eastAsia" w:ascii="Times New Roman" w:hAnsi="Times New Roman" w:eastAsia="方正小标宋_GBK" w:cs="Times New Roman"/>
          <w:kern w:val="0"/>
          <w:sz w:val="44"/>
          <w:szCs w:val="44"/>
          <w:lang w:eastAsia="zh-CN" w:bidi="ar"/>
        </w:rPr>
        <w:sectPr>
          <w:footerReference r:id="rId3" w:type="default"/>
          <w:pgSz w:w="11906" w:h="16838"/>
          <w:pgMar w:top="2155" w:right="1474" w:bottom="1361" w:left="1588" w:header="0" w:footer="1418" w:gutter="0"/>
          <w:pgNumType w:fmt="decimal"/>
          <w:cols w:space="720" w:num="1"/>
          <w:docGrid w:linePitch="591" w:charSpace="-343"/>
        </w:sectPr>
      </w:pPr>
    </w:p>
    <w:p w14:paraId="789ABC2A">
      <w:pPr>
        <w:spacing w:line="560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</w:p>
    <w:p w14:paraId="71667CD0">
      <w:pPr>
        <w:spacing w:before="240" w:beforeLines="100" w:after="240" w:afterLines="100" w:line="560" w:lineRule="exact"/>
        <w:jc w:val="center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湖南省社会组织信用评价指标</w:t>
      </w:r>
    </w:p>
    <w:tbl>
      <w:tblPr>
        <w:tblStyle w:val="10"/>
        <w:tblW w:w="10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1658"/>
        <w:gridCol w:w="2199"/>
        <w:gridCol w:w="4212"/>
        <w:gridCol w:w="2122"/>
      </w:tblGrid>
      <w:tr w14:paraId="201B5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60" w:hRule="atLeast"/>
          <w:tblHeader/>
          <w:jc w:val="center"/>
        </w:trPr>
        <w:tc>
          <w:tcPr>
            <w:tcW w:w="1658" w:type="dxa"/>
            <w:vAlign w:val="center"/>
          </w:tcPr>
          <w:p w14:paraId="784EA9C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lang w:bidi="ar"/>
              </w:rPr>
              <w:t>一级指标</w:t>
            </w:r>
          </w:p>
        </w:tc>
        <w:tc>
          <w:tcPr>
            <w:tcW w:w="2199" w:type="dxa"/>
            <w:vAlign w:val="center"/>
          </w:tcPr>
          <w:p w14:paraId="408477E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lang w:bidi="ar"/>
              </w:rPr>
              <w:t>二级指标</w:t>
            </w:r>
          </w:p>
        </w:tc>
        <w:tc>
          <w:tcPr>
            <w:tcW w:w="4212" w:type="dxa"/>
            <w:vAlign w:val="center"/>
          </w:tcPr>
          <w:p w14:paraId="565F0F2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三级指标</w:t>
            </w:r>
          </w:p>
        </w:tc>
        <w:tc>
          <w:tcPr>
            <w:tcW w:w="2122" w:type="dxa"/>
            <w:vAlign w:val="center"/>
          </w:tcPr>
          <w:p w14:paraId="267929C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lang w:bidi="ar"/>
              </w:rPr>
              <w:t>评分标准</w:t>
            </w:r>
          </w:p>
        </w:tc>
      </w:tr>
      <w:tr w14:paraId="6B5D3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8" w:type="dxa"/>
            <w:vMerge w:val="restart"/>
            <w:vAlign w:val="center"/>
          </w:tcPr>
          <w:p w14:paraId="7C2D25C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一、诚信建设</w:t>
            </w:r>
          </w:p>
          <w:p w14:paraId="03D5103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（正向加分10）</w:t>
            </w:r>
          </w:p>
        </w:tc>
        <w:tc>
          <w:tcPr>
            <w:tcW w:w="2199" w:type="dxa"/>
            <w:vAlign w:val="center"/>
          </w:tcPr>
          <w:p w14:paraId="16F4AE0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（一）诚信入章（3分）</w:t>
            </w:r>
          </w:p>
        </w:tc>
        <w:tc>
          <w:tcPr>
            <w:tcW w:w="4212" w:type="dxa"/>
            <w:vAlign w:val="center"/>
          </w:tcPr>
          <w:p w14:paraId="060138B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1.将诚信建设载入章程（3分）</w:t>
            </w:r>
          </w:p>
        </w:tc>
        <w:tc>
          <w:tcPr>
            <w:tcW w:w="2122" w:type="dxa"/>
            <w:vAlign w:val="center"/>
          </w:tcPr>
          <w:p w14:paraId="77DB086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有得3分，无得0分</w:t>
            </w:r>
          </w:p>
        </w:tc>
      </w:tr>
      <w:tr w14:paraId="72872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8" w:type="dxa"/>
            <w:vMerge w:val="continue"/>
            <w:shd w:val="clear" w:color="auto" w:fill="FFFFFF"/>
            <w:vAlign w:val="center"/>
          </w:tcPr>
          <w:p w14:paraId="2CE7318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2199" w:type="dxa"/>
            <w:vAlign w:val="center"/>
          </w:tcPr>
          <w:p w14:paraId="64C82EA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（二）信用承诺（4分）</w:t>
            </w:r>
          </w:p>
        </w:tc>
        <w:tc>
          <w:tcPr>
            <w:tcW w:w="4212" w:type="dxa"/>
            <w:vAlign w:val="center"/>
          </w:tcPr>
          <w:p w14:paraId="07EF97A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2.作出信用承诺并向社会公开（4分）</w:t>
            </w:r>
          </w:p>
        </w:tc>
        <w:tc>
          <w:tcPr>
            <w:tcW w:w="2122" w:type="dxa"/>
            <w:vAlign w:val="center"/>
          </w:tcPr>
          <w:p w14:paraId="24AC3ED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有得4分，无得0分</w:t>
            </w:r>
          </w:p>
        </w:tc>
      </w:tr>
      <w:tr w14:paraId="64B7F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8" w:type="dxa"/>
            <w:vMerge w:val="continue"/>
            <w:shd w:val="clear" w:color="auto" w:fill="FFFFFF"/>
            <w:vAlign w:val="center"/>
          </w:tcPr>
          <w:p w14:paraId="0C8455D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2199" w:type="dxa"/>
            <w:vAlign w:val="center"/>
          </w:tcPr>
          <w:p w14:paraId="5B87E6A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（三）信息公开（3分）</w:t>
            </w:r>
          </w:p>
        </w:tc>
        <w:tc>
          <w:tcPr>
            <w:tcW w:w="4212" w:type="dxa"/>
            <w:vAlign w:val="center"/>
          </w:tcPr>
          <w:p w14:paraId="0B853C5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3.按</w:t>
            </w:r>
            <w:r>
              <w:rPr>
                <w:rFonts w:hint="default" w:ascii="Times New Roman" w:hAnsi="Times New Roman" w:cs="Times New Roman"/>
                <w:color w:val="000000"/>
              </w:rPr>
              <w:t>照有关规定主动真实公开应公开的信息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（3分）</w:t>
            </w:r>
          </w:p>
        </w:tc>
        <w:tc>
          <w:tcPr>
            <w:tcW w:w="2122" w:type="dxa"/>
            <w:vAlign w:val="center"/>
          </w:tcPr>
          <w:p w14:paraId="20443D0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有得3分，无得0分</w:t>
            </w:r>
          </w:p>
        </w:tc>
      </w:tr>
      <w:tr w14:paraId="44F49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8" w:type="dxa"/>
            <w:vMerge w:val="restart"/>
            <w:vAlign w:val="center"/>
          </w:tcPr>
          <w:p w14:paraId="099542B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二、社会责任</w:t>
            </w:r>
          </w:p>
          <w:p w14:paraId="6B16AF7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（正向加分20）</w:t>
            </w:r>
          </w:p>
        </w:tc>
        <w:tc>
          <w:tcPr>
            <w:tcW w:w="2199" w:type="dxa"/>
            <w:vMerge w:val="restart"/>
            <w:vAlign w:val="center"/>
          </w:tcPr>
          <w:p w14:paraId="66F2066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（四）行业自律（4分）</w:t>
            </w:r>
          </w:p>
        </w:tc>
        <w:tc>
          <w:tcPr>
            <w:tcW w:w="4212" w:type="dxa"/>
            <w:vAlign w:val="center"/>
          </w:tcPr>
          <w:p w14:paraId="15A46C1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4.承</w:t>
            </w:r>
            <w:r>
              <w:rPr>
                <w:rFonts w:hint="default" w:ascii="Times New Roman" w:hAnsi="Times New Roman" w:cs="Times New Roman"/>
                <w:color w:val="000000"/>
              </w:rPr>
              <w:t>接政府采购项目并按期保质完成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（2分）</w:t>
            </w:r>
          </w:p>
        </w:tc>
        <w:tc>
          <w:tcPr>
            <w:tcW w:w="2122" w:type="dxa"/>
            <w:vAlign w:val="center"/>
          </w:tcPr>
          <w:p w14:paraId="7172EF5F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项1分，累计不超过2分</w:t>
            </w:r>
          </w:p>
        </w:tc>
      </w:tr>
      <w:tr w14:paraId="33E3C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658" w:type="dxa"/>
            <w:vMerge w:val="continue"/>
            <w:vAlign w:val="center"/>
          </w:tcPr>
          <w:p w14:paraId="07356D7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2199" w:type="dxa"/>
            <w:vMerge w:val="continue"/>
            <w:vAlign w:val="center"/>
          </w:tcPr>
          <w:p w14:paraId="0284823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4212" w:type="dxa"/>
            <w:vAlign w:val="center"/>
          </w:tcPr>
          <w:p w14:paraId="3494088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5.积极响应政府部门倡导，有序参与社会公益事业建设活动（同一项活动多次参与，按一次计算）（2分）</w:t>
            </w:r>
          </w:p>
        </w:tc>
        <w:tc>
          <w:tcPr>
            <w:tcW w:w="2122" w:type="dxa"/>
            <w:vAlign w:val="center"/>
          </w:tcPr>
          <w:p w14:paraId="60AE66D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每项2分，累计不超过2分</w:t>
            </w:r>
          </w:p>
        </w:tc>
      </w:tr>
      <w:tr w14:paraId="17917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658" w:type="dxa"/>
            <w:vMerge w:val="continue"/>
            <w:vAlign w:val="center"/>
          </w:tcPr>
          <w:p w14:paraId="36E06463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2199" w:type="dxa"/>
            <w:vMerge w:val="restart"/>
            <w:vAlign w:val="center"/>
          </w:tcPr>
          <w:p w14:paraId="6550F2A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（五）评优获奖等情况（13分）</w:t>
            </w:r>
          </w:p>
        </w:tc>
        <w:tc>
          <w:tcPr>
            <w:tcW w:w="4212" w:type="dxa"/>
            <w:vMerge w:val="restart"/>
            <w:vAlign w:val="center"/>
          </w:tcPr>
          <w:p w14:paraId="14A350E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6.获得社会组织评估等级（在等级有效期内，按实际等级计分）（7分）</w:t>
            </w:r>
          </w:p>
        </w:tc>
        <w:tc>
          <w:tcPr>
            <w:tcW w:w="2122" w:type="dxa"/>
            <w:vAlign w:val="center"/>
          </w:tcPr>
          <w:p w14:paraId="2D2E62E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5A级7分</w:t>
            </w:r>
          </w:p>
        </w:tc>
      </w:tr>
      <w:tr w14:paraId="3B16C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658" w:type="dxa"/>
            <w:vMerge w:val="continue"/>
            <w:vAlign w:val="center"/>
          </w:tcPr>
          <w:p w14:paraId="20FCABCA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2199" w:type="dxa"/>
            <w:vMerge w:val="continue"/>
            <w:vAlign w:val="center"/>
          </w:tcPr>
          <w:p w14:paraId="65EF9509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4212" w:type="dxa"/>
            <w:vMerge w:val="continue"/>
            <w:vAlign w:val="center"/>
          </w:tcPr>
          <w:p w14:paraId="440E82D7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122" w:type="dxa"/>
            <w:vAlign w:val="center"/>
          </w:tcPr>
          <w:p w14:paraId="280A057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4A级6分</w:t>
            </w:r>
          </w:p>
        </w:tc>
      </w:tr>
      <w:tr w14:paraId="2357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658" w:type="dxa"/>
            <w:vMerge w:val="continue"/>
            <w:vAlign w:val="center"/>
          </w:tcPr>
          <w:p w14:paraId="34FE00C5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2199" w:type="dxa"/>
            <w:vMerge w:val="continue"/>
            <w:vAlign w:val="center"/>
          </w:tcPr>
          <w:p w14:paraId="40244F1D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4212" w:type="dxa"/>
            <w:vMerge w:val="continue"/>
            <w:vAlign w:val="center"/>
          </w:tcPr>
          <w:p w14:paraId="59D171B8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122" w:type="dxa"/>
            <w:vAlign w:val="center"/>
          </w:tcPr>
          <w:p w14:paraId="0AF0A61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3A级4分</w:t>
            </w:r>
          </w:p>
        </w:tc>
      </w:tr>
      <w:tr w14:paraId="69696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658" w:type="dxa"/>
            <w:vMerge w:val="continue"/>
            <w:vAlign w:val="center"/>
          </w:tcPr>
          <w:p w14:paraId="495737C3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2199" w:type="dxa"/>
            <w:vMerge w:val="continue"/>
            <w:vAlign w:val="center"/>
          </w:tcPr>
          <w:p w14:paraId="755CE480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4212" w:type="dxa"/>
            <w:vAlign w:val="center"/>
          </w:tcPr>
          <w:p w14:paraId="3C489257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7.获得党政机关表彰奖励（同一奖项，同时获得各级表彰奖励的，按最高奖励加分，不累计计算）（6分）</w:t>
            </w:r>
          </w:p>
        </w:tc>
        <w:tc>
          <w:tcPr>
            <w:tcW w:w="2122" w:type="dxa"/>
            <w:vAlign w:val="center"/>
          </w:tcPr>
          <w:p w14:paraId="25287DE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获得国家级表彰奖励6分</w:t>
            </w:r>
            <w:r>
              <w:rPr>
                <w:rFonts w:hint="eastAsia" w:cs="Times New Roman"/>
                <w:color w:val="000000"/>
                <w:kern w:val="0"/>
                <w:lang w:eastAsia="zh-CN" w:bidi="ar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省级得5分，市级得4分，县级得2分</w:t>
            </w:r>
          </w:p>
        </w:tc>
      </w:tr>
      <w:tr w14:paraId="6A883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658" w:type="dxa"/>
            <w:vMerge w:val="continue"/>
            <w:vAlign w:val="center"/>
          </w:tcPr>
          <w:p w14:paraId="2A679477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2199" w:type="dxa"/>
            <w:vAlign w:val="center"/>
          </w:tcPr>
          <w:p w14:paraId="7624882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（六）文化建设（3分）</w:t>
            </w:r>
          </w:p>
        </w:tc>
        <w:tc>
          <w:tcPr>
            <w:tcW w:w="4212" w:type="dxa"/>
            <w:vAlign w:val="center"/>
          </w:tcPr>
          <w:p w14:paraId="4B0F4B7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8.国家网信办发布的《互联网新闻信息稿源单位名单》所列媒体作出的正面舆情报道（同一事件多次或多个媒体报道的，按一项计算）（3分）</w:t>
            </w:r>
          </w:p>
        </w:tc>
        <w:tc>
          <w:tcPr>
            <w:tcW w:w="2122" w:type="dxa"/>
            <w:vAlign w:val="center"/>
          </w:tcPr>
          <w:p w14:paraId="55F7A59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每项1分，累计不超过3分</w:t>
            </w:r>
          </w:p>
        </w:tc>
      </w:tr>
      <w:tr w14:paraId="2281A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58" w:type="dxa"/>
            <w:vMerge w:val="restart"/>
            <w:vAlign w:val="center"/>
          </w:tcPr>
          <w:p w14:paraId="41420F9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三、日常监管</w:t>
            </w:r>
          </w:p>
          <w:p w14:paraId="156EC1F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（负向减分40）</w:t>
            </w:r>
          </w:p>
        </w:tc>
        <w:tc>
          <w:tcPr>
            <w:tcW w:w="2199" w:type="dxa"/>
            <w:vAlign w:val="center"/>
          </w:tcPr>
          <w:p w14:paraId="0A05CD8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（七）年检、年报信息（-10分）</w:t>
            </w:r>
          </w:p>
        </w:tc>
        <w:tc>
          <w:tcPr>
            <w:tcW w:w="4212" w:type="dxa"/>
            <w:vAlign w:val="center"/>
          </w:tcPr>
          <w:p w14:paraId="61C54F9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9.年检、年报检查结论（-10分）</w:t>
            </w:r>
          </w:p>
        </w:tc>
        <w:tc>
          <w:tcPr>
            <w:tcW w:w="2122" w:type="dxa"/>
            <w:vAlign w:val="center"/>
          </w:tcPr>
          <w:p w14:paraId="6A9CAB5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基本合格的扣5分</w:t>
            </w:r>
            <w:r>
              <w:rPr>
                <w:rFonts w:hint="eastAsia" w:cs="Times New Roman"/>
                <w:color w:val="000000"/>
                <w:kern w:val="0"/>
                <w:lang w:eastAsia="zh-CN" w:bidi="ar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不合格的扣10分</w:t>
            </w:r>
          </w:p>
        </w:tc>
      </w:tr>
      <w:tr w14:paraId="196C8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58" w:type="dxa"/>
            <w:vMerge w:val="continue"/>
            <w:vAlign w:val="center"/>
          </w:tcPr>
          <w:p w14:paraId="554EFEE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2199" w:type="dxa"/>
            <w:vAlign w:val="center"/>
          </w:tcPr>
          <w:p w14:paraId="0357A77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（八）负责人信息</w:t>
            </w:r>
          </w:p>
          <w:p w14:paraId="24DFEB5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（-5分）</w:t>
            </w:r>
          </w:p>
        </w:tc>
        <w:tc>
          <w:tcPr>
            <w:tcW w:w="4212" w:type="dxa"/>
            <w:vAlign w:val="center"/>
          </w:tcPr>
          <w:p w14:paraId="1E99E99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10.负责人超龄、超届任职</w:t>
            </w:r>
            <w:r>
              <w:rPr>
                <w:rFonts w:hint="eastAsia" w:cs="Times New Roman"/>
                <w:color w:val="000000"/>
                <w:kern w:val="0"/>
                <w:lang w:eastAsia="zh-CN" w:bidi="ar"/>
              </w:rPr>
              <w:t>，登记管理机关发放整改文书要求限期整改，社会组织未按期完成整改的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（-5分）</w:t>
            </w:r>
          </w:p>
        </w:tc>
        <w:tc>
          <w:tcPr>
            <w:tcW w:w="2122" w:type="dxa"/>
            <w:vAlign w:val="center"/>
          </w:tcPr>
          <w:p w14:paraId="3038A3B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有此情况扣5分</w:t>
            </w:r>
          </w:p>
        </w:tc>
      </w:tr>
      <w:tr w14:paraId="058F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658" w:type="dxa"/>
            <w:vMerge w:val="continue"/>
            <w:vAlign w:val="center"/>
          </w:tcPr>
          <w:p w14:paraId="0094D76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2199" w:type="dxa"/>
            <w:vAlign w:val="center"/>
          </w:tcPr>
          <w:p w14:paraId="0B0BDF3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（九）换届工作（-5分）</w:t>
            </w:r>
          </w:p>
        </w:tc>
        <w:tc>
          <w:tcPr>
            <w:tcW w:w="4212" w:type="dxa"/>
            <w:vAlign w:val="center"/>
          </w:tcPr>
          <w:p w14:paraId="4DE6D50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11.未按照章程规定按期换届</w:t>
            </w:r>
            <w:r>
              <w:rPr>
                <w:rFonts w:hint="eastAsia" w:cs="Times New Roman"/>
                <w:color w:val="000000"/>
                <w:kern w:val="0"/>
                <w:lang w:eastAsia="zh-CN" w:bidi="ar"/>
              </w:rPr>
              <w:t>，登记管理机关发放整改文书要求限期整改，社会组织未按期完成整改的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（-5分）</w:t>
            </w:r>
          </w:p>
        </w:tc>
        <w:tc>
          <w:tcPr>
            <w:tcW w:w="2122" w:type="dxa"/>
            <w:vAlign w:val="center"/>
          </w:tcPr>
          <w:p w14:paraId="17727C7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有此情况扣5分</w:t>
            </w:r>
          </w:p>
        </w:tc>
      </w:tr>
      <w:tr w14:paraId="5B2D7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658" w:type="dxa"/>
            <w:vMerge w:val="continue"/>
            <w:vAlign w:val="center"/>
          </w:tcPr>
          <w:p w14:paraId="23111E2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2199" w:type="dxa"/>
            <w:vAlign w:val="center"/>
          </w:tcPr>
          <w:p w14:paraId="7D8FA58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（十）财务规范（-5分）</w:t>
            </w:r>
          </w:p>
        </w:tc>
        <w:tc>
          <w:tcPr>
            <w:tcW w:w="4212" w:type="dxa"/>
            <w:vAlign w:val="center"/>
          </w:tcPr>
          <w:p w14:paraId="20F517B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12.未执行《民间非营利组织会计制度》，未建立并执行预算、收支、资产等财务管理制度</w:t>
            </w:r>
            <w:r>
              <w:rPr>
                <w:rFonts w:hint="eastAsia" w:cs="Times New Roman"/>
                <w:color w:val="000000"/>
                <w:kern w:val="0"/>
                <w:lang w:eastAsia="zh-CN" w:bidi="ar"/>
              </w:rPr>
              <w:t>，登记管理机关发放整改文书要求限期整改，社会组织未按期完成整改的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（-5分）</w:t>
            </w:r>
          </w:p>
        </w:tc>
        <w:tc>
          <w:tcPr>
            <w:tcW w:w="2122" w:type="dxa"/>
            <w:vAlign w:val="center"/>
          </w:tcPr>
          <w:p w14:paraId="533BE68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有此情况扣5分</w:t>
            </w:r>
          </w:p>
        </w:tc>
      </w:tr>
      <w:tr w14:paraId="3B4F3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658" w:type="dxa"/>
            <w:vMerge w:val="continue"/>
            <w:vAlign w:val="center"/>
          </w:tcPr>
          <w:p w14:paraId="71263C4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2199" w:type="dxa"/>
            <w:vAlign w:val="center"/>
          </w:tcPr>
          <w:p w14:paraId="2B9F430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（十一）评比达标表彰活动（-5分）</w:t>
            </w:r>
          </w:p>
        </w:tc>
        <w:tc>
          <w:tcPr>
            <w:tcW w:w="4212" w:type="dxa"/>
            <w:vAlign w:val="center"/>
          </w:tcPr>
          <w:p w14:paraId="2CA7EDD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13.违规开展评比</w:t>
            </w:r>
            <w:r>
              <w:rPr>
                <w:rFonts w:hint="eastAsia" w:cs="Times New Roman"/>
                <w:color w:val="000000"/>
                <w:kern w:val="0"/>
                <w:lang w:eastAsia="zh-CN" w:bidi="ar"/>
              </w:rPr>
              <w:t>达标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表彰活动</w:t>
            </w:r>
            <w:r>
              <w:rPr>
                <w:rFonts w:hint="eastAsia" w:cs="Times New Roman"/>
                <w:color w:val="000000"/>
                <w:kern w:val="0"/>
                <w:lang w:eastAsia="zh-CN" w:bidi="ar"/>
              </w:rPr>
              <w:t>，登记管理机关发放整改文书要求限期整改，社会组织未按期完成整改的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（-5分）</w:t>
            </w:r>
          </w:p>
        </w:tc>
        <w:tc>
          <w:tcPr>
            <w:tcW w:w="2122" w:type="dxa"/>
            <w:vAlign w:val="center"/>
          </w:tcPr>
          <w:p w14:paraId="7429ACE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有此情况扣5分</w:t>
            </w:r>
          </w:p>
        </w:tc>
      </w:tr>
      <w:tr w14:paraId="21C72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58" w:type="dxa"/>
            <w:vMerge w:val="continue"/>
            <w:vAlign w:val="center"/>
          </w:tcPr>
          <w:p w14:paraId="76DC796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2199" w:type="dxa"/>
            <w:vAlign w:val="center"/>
          </w:tcPr>
          <w:p w14:paraId="3138B63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（十二）论坛活动</w:t>
            </w:r>
          </w:p>
          <w:p w14:paraId="78FAFE2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（-5分）</w:t>
            </w:r>
          </w:p>
        </w:tc>
        <w:tc>
          <w:tcPr>
            <w:tcW w:w="4212" w:type="dxa"/>
            <w:vAlign w:val="center"/>
          </w:tcPr>
          <w:p w14:paraId="303F8A0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14.违规举办论坛活动</w:t>
            </w:r>
            <w:r>
              <w:rPr>
                <w:rFonts w:hint="eastAsia" w:cs="Times New Roman"/>
                <w:color w:val="000000"/>
                <w:kern w:val="0"/>
                <w:lang w:eastAsia="zh-CN" w:bidi="ar"/>
              </w:rPr>
              <w:t>，登记管理机关发放整改文书要求限期整改，社会组织未按期完成整改的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（-5分）</w:t>
            </w:r>
          </w:p>
        </w:tc>
        <w:tc>
          <w:tcPr>
            <w:tcW w:w="2122" w:type="dxa"/>
            <w:vAlign w:val="center"/>
          </w:tcPr>
          <w:p w14:paraId="1BC083A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有此情况扣5分</w:t>
            </w:r>
          </w:p>
        </w:tc>
      </w:tr>
      <w:tr w14:paraId="085B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658" w:type="dxa"/>
            <w:vMerge w:val="continue"/>
            <w:vAlign w:val="center"/>
          </w:tcPr>
          <w:p w14:paraId="61EE503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2199" w:type="dxa"/>
            <w:vAlign w:val="center"/>
          </w:tcPr>
          <w:p w14:paraId="07AD91D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（十三）社会组织</w:t>
            </w:r>
            <w:r>
              <w:rPr>
                <w:rFonts w:hint="eastAsia" w:cs="Times New Roman"/>
                <w:color w:val="000000"/>
                <w:kern w:val="0"/>
                <w:lang w:eastAsia="zh-CN" w:bidi="ar"/>
              </w:rPr>
              <w:t>等级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评估（-5分）</w:t>
            </w:r>
          </w:p>
        </w:tc>
        <w:tc>
          <w:tcPr>
            <w:tcW w:w="4212" w:type="dxa"/>
            <w:vAlign w:val="center"/>
          </w:tcPr>
          <w:p w14:paraId="4C9B240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15.申请参加社会组织等级评估，因自身原因退出评估</w:t>
            </w:r>
            <w:r>
              <w:rPr>
                <w:rFonts w:hint="eastAsia" w:cs="Times New Roman"/>
                <w:color w:val="000000"/>
                <w:kern w:val="0"/>
                <w:lang w:eastAsia="zh-CN" w:bidi="ar"/>
              </w:rPr>
              <w:t>的书面申请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（-5分）</w:t>
            </w:r>
          </w:p>
        </w:tc>
        <w:tc>
          <w:tcPr>
            <w:tcW w:w="2122" w:type="dxa"/>
            <w:vAlign w:val="center"/>
          </w:tcPr>
          <w:p w14:paraId="3631FE6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有此情况扣5分</w:t>
            </w:r>
          </w:p>
        </w:tc>
      </w:tr>
      <w:tr w14:paraId="51F4D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58" w:type="dxa"/>
            <w:vMerge w:val="restart"/>
            <w:vAlign w:val="center"/>
          </w:tcPr>
          <w:p w14:paraId="43FEAFB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四、遵纪守法</w:t>
            </w:r>
          </w:p>
          <w:p w14:paraId="4DB2C9D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（负向减分30）</w:t>
            </w:r>
          </w:p>
        </w:tc>
        <w:tc>
          <w:tcPr>
            <w:tcW w:w="2199" w:type="dxa"/>
            <w:vAlign w:val="center"/>
          </w:tcPr>
          <w:p w14:paraId="7AF2065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（十四）有效投诉信息（-10分）</w:t>
            </w:r>
          </w:p>
        </w:tc>
        <w:tc>
          <w:tcPr>
            <w:tcW w:w="4212" w:type="dxa"/>
            <w:vAlign w:val="center"/>
          </w:tcPr>
          <w:p w14:paraId="590048A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16.上一年度收到的不规范运行的投诉举报，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且情况属实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（10分）</w:t>
            </w:r>
          </w:p>
        </w:tc>
        <w:tc>
          <w:tcPr>
            <w:tcW w:w="2122" w:type="dxa"/>
            <w:vAlign w:val="center"/>
          </w:tcPr>
          <w:p w14:paraId="09DA0B5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1次＜投诉≤2次，扣5分；投诉＞2次，扣10分</w:t>
            </w:r>
          </w:p>
        </w:tc>
      </w:tr>
      <w:tr w14:paraId="2BEDD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1658" w:type="dxa"/>
            <w:vMerge w:val="continue"/>
            <w:vAlign w:val="center"/>
          </w:tcPr>
          <w:p w14:paraId="0298872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2199" w:type="dxa"/>
            <w:vAlign w:val="center"/>
          </w:tcPr>
          <w:p w14:paraId="4443338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（十五）活动异常名录（-20分）</w:t>
            </w:r>
          </w:p>
        </w:tc>
        <w:tc>
          <w:tcPr>
            <w:tcW w:w="4212" w:type="dxa"/>
            <w:vAlign w:val="center"/>
          </w:tcPr>
          <w:p w14:paraId="5E9B882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/>
              </w:rPr>
            </w:pPr>
            <w:r>
              <w:rPr>
                <w:rFonts w:hint="default"/>
              </w:rPr>
              <w:t>17.未按照规定时限和要求向登记管理机关报送年度工作报告的；</w:t>
            </w:r>
          </w:p>
          <w:p w14:paraId="727E517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/>
              </w:rPr>
            </w:pPr>
            <w:r>
              <w:rPr>
                <w:rFonts w:hint="default"/>
              </w:rPr>
              <w:t>18.未按照有关规定设立党组织的；</w:t>
            </w:r>
          </w:p>
          <w:p w14:paraId="3868B85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/>
              </w:rPr>
            </w:pPr>
            <w:r>
              <w:rPr>
                <w:rFonts w:hint="default"/>
              </w:rPr>
              <w:t>19.登记管理机关在抽查和其他监督检查中发现问题，发放整改文书要求限期整改，社会组织未按期完成整改的；　</w:t>
            </w:r>
          </w:p>
          <w:p w14:paraId="0DA4908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/>
              </w:rPr>
            </w:pPr>
            <w:r>
              <w:rPr>
                <w:rFonts w:hint="default"/>
              </w:rPr>
              <w:t>20.具有公开募捐资格的慈善组织，存在《慈善组织公开募捐管理办法》第二十一条规定情形的；</w:t>
            </w:r>
          </w:p>
          <w:p w14:paraId="500D0E0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/>
              </w:rPr>
            </w:pPr>
            <w:r>
              <w:rPr>
                <w:rFonts w:hint="default"/>
              </w:rPr>
              <w:t>21.受到警告或者不满5万元罚款处罚的；</w:t>
            </w:r>
          </w:p>
          <w:p w14:paraId="4C34C37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/>
              </w:rPr>
            </w:pPr>
            <w:r>
              <w:rPr>
                <w:rFonts w:hint="default"/>
              </w:rPr>
              <w:t>22.通过登记的住所无法与社会组织取得联系的；</w:t>
            </w:r>
          </w:p>
          <w:p w14:paraId="3572A3A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23.法律、行政法规规定应当列入的其他情形。</w:t>
            </w:r>
          </w:p>
        </w:tc>
        <w:tc>
          <w:tcPr>
            <w:tcW w:w="2122" w:type="dxa"/>
            <w:vAlign w:val="center"/>
          </w:tcPr>
          <w:p w14:paraId="38EE722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发生其中一项，直接扣20分。存在所列情形，但由业务主管单位（行业管理部门）或者其他有关部门书面证明该社会组织对此不负直接责任的，可以不列入活动异常名录，不扣分</w:t>
            </w:r>
          </w:p>
        </w:tc>
      </w:tr>
      <w:tr w14:paraId="6FF64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658" w:type="dxa"/>
            <w:vAlign w:val="center"/>
          </w:tcPr>
          <w:p w14:paraId="407CF514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五、一票否决</w:t>
            </w:r>
          </w:p>
        </w:tc>
        <w:tc>
          <w:tcPr>
            <w:tcW w:w="2199" w:type="dxa"/>
            <w:vAlign w:val="center"/>
          </w:tcPr>
          <w:p w14:paraId="1C81D3BF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（十六）严重违法失信名单（信用积分直接降到20分）</w:t>
            </w:r>
          </w:p>
        </w:tc>
        <w:tc>
          <w:tcPr>
            <w:tcW w:w="4212" w:type="dxa"/>
            <w:vAlign w:val="center"/>
          </w:tcPr>
          <w:p w14:paraId="21DCA349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2</w:t>
            </w:r>
            <w:r>
              <w:rPr>
                <w:rFonts w:hint="eastAsia" w:cs="Times New Roman"/>
                <w:color w:val="000000"/>
                <w:kern w:val="0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.被</w:t>
            </w:r>
            <w:r>
              <w:rPr>
                <w:rFonts w:hint="default" w:ascii="Times New Roman" w:hAnsi="Times New Roman" w:cs="Times New Roman"/>
                <w:color w:val="000000"/>
              </w:rPr>
              <w:t>列入活动异常名录满2年的；</w:t>
            </w:r>
          </w:p>
          <w:p w14:paraId="458178B2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2</w:t>
            </w:r>
            <w:r>
              <w:rPr>
                <w:rFonts w:hint="eastAsia" w:cs="Times New Roman"/>
                <w:color w:val="000000"/>
                <w:kern w:val="0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.弄</w:t>
            </w:r>
            <w:r>
              <w:rPr>
                <w:rFonts w:hint="default" w:ascii="Times New Roman" w:hAnsi="Times New Roman" w:cs="Times New Roman"/>
                <w:color w:val="000000"/>
              </w:rPr>
              <w:t>虚作假办理变更登记，被撤销变更登记的；</w:t>
            </w:r>
          </w:p>
          <w:p w14:paraId="533EEFA8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2</w:t>
            </w:r>
            <w:r>
              <w:rPr>
                <w:rFonts w:hint="eastAsia" w:cs="Times New Roman"/>
                <w:color w:val="000000"/>
                <w:kern w:val="0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.受</w:t>
            </w:r>
            <w:r>
              <w:rPr>
                <w:rFonts w:hint="default" w:ascii="Times New Roman" w:hAnsi="Times New Roman" w:cs="Times New Roman"/>
                <w:color w:val="000000"/>
              </w:rPr>
              <w:t>到限期停止活动行政处罚的；</w:t>
            </w:r>
          </w:p>
          <w:p w14:paraId="1EC83F35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2</w:t>
            </w:r>
            <w:r>
              <w:rPr>
                <w:rFonts w:hint="eastAsia" w:cs="Times New Roman"/>
                <w:color w:val="000000"/>
                <w:kern w:val="0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.受</w:t>
            </w:r>
            <w:r>
              <w:rPr>
                <w:rFonts w:hint="default" w:ascii="Times New Roman" w:hAnsi="Times New Roman" w:cs="Times New Roman"/>
                <w:color w:val="000000"/>
              </w:rPr>
              <w:t>到5万元以上罚款处罚的；</w:t>
            </w:r>
          </w:p>
          <w:p w14:paraId="560510F1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2</w:t>
            </w:r>
            <w:r>
              <w:rPr>
                <w:rFonts w:hint="eastAsia" w:cs="Times New Roman"/>
                <w:color w:val="000000"/>
                <w:kern w:val="0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.三</w:t>
            </w:r>
            <w:r>
              <w:rPr>
                <w:rFonts w:hint="default" w:ascii="Times New Roman" w:hAnsi="Times New Roman" w:cs="Times New Roman"/>
                <w:color w:val="000000"/>
              </w:rPr>
              <w:t>年内两次以上受到警告或者不满5万元罚款处罚的；</w:t>
            </w:r>
          </w:p>
          <w:p w14:paraId="4EC26576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2</w:t>
            </w:r>
            <w:r>
              <w:rPr>
                <w:rFonts w:hint="eastAsia" w:cs="Times New Roman"/>
                <w:color w:val="000000"/>
                <w:kern w:val="0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.被</w:t>
            </w:r>
            <w:r>
              <w:rPr>
                <w:rFonts w:hint="default" w:ascii="Times New Roman" w:hAnsi="Times New Roman" w:cs="Times New Roman"/>
                <w:color w:val="000000"/>
              </w:rPr>
              <w:t>司法机关纳入“失信被执行人”名单的；</w:t>
            </w:r>
          </w:p>
          <w:p w14:paraId="5022B38E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  <w:kern w:val="0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</w:rPr>
              <w:t>被登记管理机关作出撤销登记决定的；</w:t>
            </w:r>
          </w:p>
          <w:p w14:paraId="10F4BDF2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31.法</w:t>
            </w:r>
            <w:r>
              <w:rPr>
                <w:rFonts w:hint="default" w:ascii="Times New Roman" w:hAnsi="Times New Roman" w:cs="Times New Roman"/>
                <w:color w:val="000000"/>
              </w:rPr>
              <w:t>律、行政法规规定应当列入的其他情形。</w:t>
            </w:r>
          </w:p>
        </w:tc>
        <w:tc>
          <w:tcPr>
            <w:tcW w:w="2122" w:type="dxa"/>
            <w:vAlign w:val="center"/>
          </w:tcPr>
          <w:p w14:paraId="0251D45B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发生其中一项，信用积分直接降到20分，等级直接判定为D级</w:t>
            </w:r>
          </w:p>
        </w:tc>
      </w:tr>
    </w:tbl>
    <w:p w14:paraId="3182DF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42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2"/>
          <w:szCs w:val="22"/>
          <w:highlight w:val="none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说明：</w:t>
      </w:r>
      <w:r>
        <w:rPr>
          <w:rFonts w:hint="default" w:ascii="Times New Roman" w:hAnsi="Times New Roman" w:cs="Times New Roman"/>
          <w:sz w:val="22"/>
          <w:szCs w:val="22"/>
        </w:rPr>
        <w:t>第1、2、8项属于一次性行为，按实际情况进行积分，不累计加分；16-31项中如属于同一行为产生的处罚，按最大分值扣分</w:t>
      </w:r>
      <w:r>
        <w:rPr>
          <w:rFonts w:hint="eastAsia" w:cs="Times New Roman"/>
          <w:sz w:val="22"/>
          <w:szCs w:val="22"/>
          <w:lang w:eastAsia="zh-CN"/>
        </w:rPr>
        <w:t>；</w:t>
      </w:r>
      <w:r>
        <w:rPr>
          <w:rFonts w:hint="default" w:ascii="Times New Roman" w:hAnsi="Times New Roman" w:cs="Times New Roman"/>
          <w:sz w:val="22"/>
          <w:szCs w:val="22"/>
          <w:highlight w:val="none"/>
        </w:rPr>
        <w:t>第4.5.7.8项信息需由社会组织主动申报</w:t>
      </w:r>
      <w:r>
        <w:rPr>
          <w:rFonts w:hint="eastAsia" w:cs="Times New Roman"/>
          <w:sz w:val="22"/>
          <w:szCs w:val="22"/>
          <w:highlight w:val="none"/>
          <w:lang w:eastAsia="zh-CN"/>
        </w:rPr>
        <w:t>。</w:t>
      </w:r>
    </w:p>
    <w:p w14:paraId="1D2BE206">
      <w:r>
        <w:br w:type="page"/>
      </w:r>
    </w:p>
    <w:p w14:paraId="5799018E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32018A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44D54E1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5CBD61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0AAE91B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6C5FD10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49E8D57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3D3B50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875666F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E031C78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DDCC4C1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760C22C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F9F0C9C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C5D5E75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CABF931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5D62082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69FDA03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8E489C9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84859B6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4A509AF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674A701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46D042E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DADCF1F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188D8EC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917435D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E2F0791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15D8226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20770A">
      <w:pPr>
        <w:spacing w:line="120" w:lineRule="exact"/>
        <w:ind w:firstLine="1280" w:firstLineChars="4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40CB7068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8AC5701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B1CCB46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8E68BD1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D356F05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B694601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C1E2D9A"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3F8A71B3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99A7FBA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E11D390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C8AB779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8221D76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4468935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6A0B2EB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9804AAA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29524BF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48E6EA0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E029D4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2A785A4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18B40CA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5925D9C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10"/>
        <w:tblW w:w="9060" w:type="dxa"/>
        <w:tblInd w:w="-106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548EF5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04D339F9">
            <w:pPr>
              <w:keepNext w:val="0"/>
              <w:keepLines w:val="0"/>
              <w:suppressLineNumbers w:val="0"/>
              <w:spacing w:before="0" w:beforeAutospacing="0" w:after="0" w:afterAutospacing="0" w:line="576" w:lineRule="exact"/>
              <w:ind w:left="0" w:right="0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主动公开</w:t>
            </w:r>
          </w:p>
        </w:tc>
      </w:tr>
      <w:tr w14:paraId="2661F8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7ACC5B54">
            <w:pPr>
              <w:keepNext w:val="0"/>
              <w:keepLines w:val="0"/>
              <w:suppressLineNumbers w:val="0"/>
              <w:spacing w:before="0" w:beforeAutospacing="0" w:after="0" w:afterAutospacing="0" w:line="576" w:lineRule="exact"/>
              <w:ind w:left="0" w:right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湖南省民政厅办公室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日印发</w:t>
            </w:r>
          </w:p>
        </w:tc>
      </w:tr>
    </w:tbl>
    <w:p w14:paraId="74521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p w14:paraId="43746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p w14:paraId="7717C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3757295</wp:posOffset>
            </wp:positionH>
            <wp:positionV relativeFrom="paragraph">
              <wp:posOffset>12700</wp:posOffset>
            </wp:positionV>
            <wp:extent cx="1797685" cy="410210"/>
            <wp:effectExtent l="0" t="0" r="12065" b="8890"/>
            <wp:wrapNone/>
            <wp:docPr id="1" name="图片 1" descr="湖南省社会组织信用评价管理办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南省社会组织信用评价管理办法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7685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2154" w:right="1474" w:bottom="1361" w:left="1587" w:header="0" w:footer="1417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turday Sans Regular">
    <w:altName w:val="汉仪中宋简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方正书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4D82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259672">
                          <w:pPr>
                            <w:snapToGrid w:val="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259672">
                    <w:pPr>
                      <w:snapToGrid w:val="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FF7526"/>
    <w:multiLevelType w:val="singleLevel"/>
    <w:tmpl w:val="E2FF7526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91735"/>
    <w:rsid w:val="061D51A8"/>
    <w:rsid w:val="078D376C"/>
    <w:rsid w:val="11C3509F"/>
    <w:rsid w:val="23085548"/>
    <w:rsid w:val="35E91735"/>
    <w:rsid w:val="3B4E5D77"/>
    <w:rsid w:val="3C2E46A1"/>
    <w:rsid w:val="47A84C73"/>
    <w:rsid w:val="4D930EA0"/>
    <w:rsid w:val="4EF03E5C"/>
    <w:rsid w:val="58600354"/>
    <w:rsid w:val="5A1D0B79"/>
    <w:rsid w:val="686627D8"/>
    <w:rsid w:val="750A12AA"/>
    <w:rsid w:val="F7FA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widowControl w:val="0"/>
      <w:spacing w:before="260" w:after="260" w:line="410" w:lineRule="auto"/>
      <w:outlineLvl w:val="1"/>
    </w:pPr>
    <w:rPr>
      <w:rFonts w:ascii="Saturday Sans Regular" w:hAnsi="Saturday Sans Regular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spacing w:before="100" w:beforeAutospacing="1" w:after="100" w:afterAutospacing="1"/>
      <w:ind w:left="420"/>
    </w:pPr>
    <w:rPr>
      <w:rFonts w:ascii="等线" w:eastAsia="等线"/>
      <w:b/>
      <w:bCs/>
      <w:sz w:val="30"/>
      <w:szCs w:val="30"/>
    </w:rPr>
  </w:style>
  <w:style w:type="paragraph" w:styleId="5">
    <w:name w:val="Body Text Indent"/>
    <w:basedOn w:val="1"/>
    <w:qFormat/>
    <w:uiPriority w:val="0"/>
    <w:pPr>
      <w:ind w:firstLine="555"/>
    </w:pPr>
    <w:rPr>
      <w:rFonts w:ascii="仿宋_GB2312" w:eastAsia="仿宋_GB2312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7">
    <w:name w:val="footnote text"/>
    <w:basedOn w:val="1"/>
    <w:next w:val="8"/>
    <w:qFormat/>
    <w:uiPriority w:val="0"/>
    <w:pPr>
      <w:snapToGrid w:val="0"/>
      <w:jc w:val="left"/>
    </w:pPr>
    <w:rPr>
      <w:sz w:val="18"/>
      <w:szCs w:val="18"/>
    </w:rPr>
  </w:style>
  <w:style w:type="paragraph" w:styleId="8">
    <w:name w:val="Body Text First Indent 2"/>
    <w:basedOn w:val="5"/>
    <w:qFormat/>
    <w:uiPriority w:val="0"/>
    <w:pPr>
      <w:spacing w:line="560" w:lineRule="exact"/>
      <w:ind w:firstLine="420" w:firstLineChars="200"/>
    </w:pPr>
    <w:rPr>
      <w:rFonts w:ascii="Calibri" w:hAnsi="Calibri" w:cs="黑体"/>
      <w:sz w:val="28"/>
      <w:szCs w:val="2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2025-12-23T11:03:00Z</dcterms:created>
  <dc:creator>Administrator</dc:creator>
  <cp:lastModifiedBy>greatwall</cp:lastModifiedBy>
  <cp:lastPrinted>2026-01-07T15:15:00Z</cp:lastPrinted>
  <dcterms:modified xsi:type="dcterms:W3CDTF">2026-01-07T15:34:05Z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2255F8BE555BD1FB6D0C5E69D59E11BA_42</vt:lpwstr>
  </property>
</Properties>
</file>