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62" w:beforeLines="50" w:after="162" w:afterLines="50" w:line="58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default" w:ascii="Times New Roman" w:hAnsi="Times New Roman" w:eastAsia="方正小标宋简体" w:cs="Times New Roman"/>
          <w:sz w:val="44"/>
          <w:szCs w:val="44"/>
          <w:highlight w:val="none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  <w:highlight w:val="none"/>
        </w:rPr>
        <w:t>湖南省基金会评估指标</w:t>
      </w:r>
    </w:p>
    <w:tbl>
      <w:tblPr>
        <w:tblStyle w:val="5"/>
        <w:tblW w:w="9192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auto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198"/>
        <w:gridCol w:w="936"/>
        <w:gridCol w:w="1924"/>
        <w:gridCol w:w="4510"/>
        <w:gridCol w:w="62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tblHeader/>
          <w:jc w:val="center"/>
        </w:trPr>
        <w:tc>
          <w:tcPr>
            <w:tcW w:w="1198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b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一级指标</w:t>
            </w:r>
          </w:p>
        </w:tc>
        <w:tc>
          <w:tcPr>
            <w:tcW w:w="936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b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二级指标</w:t>
            </w:r>
          </w:p>
        </w:tc>
        <w:tc>
          <w:tcPr>
            <w:tcW w:w="19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b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三级指标</w:t>
            </w: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b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四级指标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b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分值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198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基础条件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（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60分</w:t>
            </w: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）</w:t>
            </w:r>
          </w:p>
        </w:tc>
        <w:tc>
          <w:tcPr>
            <w:tcW w:w="936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法人资格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（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20分</w:t>
            </w: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）</w:t>
            </w:r>
          </w:p>
        </w:tc>
        <w:tc>
          <w:tcPr>
            <w:tcW w:w="19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原始基金</w:t>
            </w: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（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5分</w:t>
            </w: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）</w:t>
            </w: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年末净资产不低于证书原始基金数额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198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法定代表人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（7分）</w:t>
            </w: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经理事会选举产生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198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任职资格符合规定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198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住所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（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8分</w:t>
            </w: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）</w:t>
            </w: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名称牌匾及登记证书悬挂情况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198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独立的办公场地和相应的办公设备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198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主要办事机构所在地与住所一致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198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登记管理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（40分）</w:t>
            </w:r>
          </w:p>
        </w:tc>
        <w:tc>
          <w:tcPr>
            <w:tcW w:w="1924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章程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（8分）</w:t>
            </w: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章程制定（修改）经理事会通过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198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章程修订后履行核准程序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198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登记和备案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（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12分</w:t>
            </w: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）</w:t>
            </w: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登记事项变更履行变更登记程序情况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198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理事、监事备案情况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198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重大事项报告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（5分）</w:t>
            </w: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重大事项报告制度制定及执行情况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198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  <w:lang w:val="en-US" w:eastAsia="zh-CN"/>
              </w:rPr>
            </w:pPr>
          </w:p>
        </w:tc>
        <w:tc>
          <w:tcPr>
            <w:tcW w:w="93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遵守法律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法规情况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（15分）</w:t>
            </w: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遵守社会组织管理政策情况（理事近亲属关系数、国家工作人员兼职负责人、理事监事任职和取酬、开展评比达标表彰、分支（代表）机构设立程序、日常监督、具有公开募捐资格的慈善组织设立监事会等。）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198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党建情况（100分）</w:t>
            </w:r>
          </w:p>
        </w:tc>
        <w:tc>
          <w:tcPr>
            <w:tcW w:w="936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党建入章程情况和党建工作开展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（75分）</w:t>
            </w:r>
          </w:p>
        </w:tc>
        <w:tc>
          <w:tcPr>
            <w:tcW w:w="1924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党的建设入章程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和建立情况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（</w:t>
            </w:r>
            <w:r>
              <w:rPr>
                <w:rFonts w:hint="eastAsia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10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分）</w:t>
            </w: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坚持党的全面领导、社会主义核心价值观载入章程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198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continue"/>
            <w:tcBorders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党组织建立情况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198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党建工作开展情况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（65分）</w:t>
            </w: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组织生活制度落实情况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198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组织党员开展活动情况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198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档案管理情况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198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党员管理情况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71" w:hRule="atLeast"/>
          <w:jc w:val="center"/>
        </w:trPr>
        <w:tc>
          <w:tcPr>
            <w:tcW w:w="1198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党建情况（100分）</w:t>
            </w:r>
          </w:p>
        </w:tc>
        <w:tc>
          <w:tcPr>
            <w:tcW w:w="936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党建入章程情况和党建工作开展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（75分）</w:t>
            </w:r>
          </w:p>
        </w:tc>
        <w:tc>
          <w:tcPr>
            <w:tcW w:w="1924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党建工作开展情况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（65分）</w:t>
            </w: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党支部书记参与理事会情况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198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党组织发挥作用情况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198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阵地建设和经费保障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（25分）</w:t>
            </w:r>
          </w:p>
        </w:tc>
        <w:tc>
          <w:tcPr>
            <w:tcW w:w="19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阵地建设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（15分）</w:t>
            </w: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有党建阵地建设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198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党建经费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（10分）</w:t>
            </w: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有党建经费列支制度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198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每年对党建活动有专项资金列支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198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内部治理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（360分）</w:t>
            </w:r>
          </w:p>
        </w:tc>
        <w:tc>
          <w:tcPr>
            <w:tcW w:w="936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组织机构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（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40分</w:t>
            </w: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）</w:t>
            </w:r>
          </w:p>
        </w:tc>
        <w:tc>
          <w:tcPr>
            <w:tcW w:w="1924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理事会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（30分）</w:t>
            </w: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按时换届及理事会构成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198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理事会召开及理事出席情况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198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理事会会议纪要制作规范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198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理事会按章程履行职权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198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决策程序及方式符合规定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198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监事或监事会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（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10分</w:t>
            </w: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）</w:t>
            </w: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监事列席理事会情况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198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监事发挥作用情况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198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人力资源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管理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（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50分</w:t>
            </w: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）</w:t>
            </w:r>
          </w:p>
        </w:tc>
        <w:tc>
          <w:tcPr>
            <w:tcW w:w="1924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负责人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（15分）</w:t>
            </w: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负责人届次、年龄符合规定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  <w:lang w:val="en-US" w:eastAsia="zh-CN"/>
              </w:rPr>
              <w:t>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198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秘书长专兼职情况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198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退（离）休领导干部兼职和领取报酬情况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198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人事管理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（8分）</w:t>
            </w: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与专职工作人员劳动合同签订情况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198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薪酬管理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198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社会保险和住房公积金缴纳情况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198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工作人员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（19分）</w:t>
            </w: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专职工作人员数量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198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专业化水平和员工状态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  <w:lang w:val="en-US" w:eastAsia="zh-CN"/>
              </w:rPr>
              <w:t>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198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参加业务培训情况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567" w:hRule="atLeast"/>
          <w:jc w:val="center"/>
        </w:trPr>
        <w:tc>
          <w:tcPr>
            <w:tcW w:w="1198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内部治理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（360分）</w:t>
            </w:r>
          </w:p>
        </w:tc>
        <w:tc>
          <w:tcPr>
            <w:tcW w:w="936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人力资源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管理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（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50分</w:t>
            </w: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）</w:t>
            </w:r>
          </w:p>
        </w:tc>
        <w:tc>
          <w:tcPr>
            <w:tcW w:w="1924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志愿者管理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（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8分</w:t>
            </w: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）</w:t>
            </w: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志愿者管理制度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198" w:type="dxa"/>
            <w:vMerge w:val="continue"/>
            <w:tcBorders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志愿者管理及发挥作用情况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198" w:type="dxa"/>
            <w:vMerge w:val="continue"/>
            <w:tcBorders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档案、印章管理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（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15分</w:t>
            </w: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）</w:t>
            </w:r>
          </w:p>
        </w:tc>
        <w:tc>
          <w:tcPr>
            <w:tcW w:w="1924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档案管理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（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9分</w:t>
            </w: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）</w:t>
            </w: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档案管理制度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198" w:type="dxa"/>
            <w:vMerge w:val="continue"/>
            <w:tcBorders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档案保管情况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198" w:type="dxa"/>
            <w:vMerge w:val="continue"/>
            <w:tcBorders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印章管理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（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6分</w:t>
            </w: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）</w:t>
            </w: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印章管理制度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198" w:type="dxa"/>
            <w:vMerge w:val="continue"/>
            <w:tcBorders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印章使用登记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198" w:type="dxa"/>
            <w:vMerge w:val="continue"/>
            <w:tcBorders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财务管理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（255分）</w:t>
            </w:r>
          </w:p>
        </w:tc>
        <w:tc>
          <w:tcPr>
            <w:tcW w:w="1924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合法运营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（35分）</w:t>
            </w: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经费来源和资金使用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198" w:type="dxa"/>
            <w:vMerge w:val="continue"/>
            <w:tcBorders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tcBorders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continue"/>
            <w:tcBorders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资金列入符合规定的单位账簿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198" w:type="dxa"/>
            <w:vMerge w:val="continue"/>
            <w:tcBorders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tcBorders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continue"/>
            <w:tcBorders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纳税管理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198" w:type="dxa"/>
            <w:vMerge w:val="continue"/>
            <w:tcBorders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tcBorders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会计基础工作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（45分）</w:t>
            </w: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会计人员配备及岗位职责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198" w:type="dxa"/>
            <w:vMerge w:val="continue"/>
            <w:tcBorders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tcBorders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会计机构负责人资格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198" w:type="dxa"/>
            <w:vMerge w:val="continue"/>
            <w:tcBorders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tcBorders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核算规范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198" w:type="dxa"/>
            <w:vMerge w:val="continue"/>
            <w:tcBorders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tcBorders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账务处理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198" w:type="dxa"/>
            <w:vMerge w:val="continue"/>
            <w:tcBorders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tcBorders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会计档案管理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198" w:type="dxa"/>
            <w:vMerge w:val="continue"/>
            <w:tcBorders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tcBorders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捐赠收入管理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（40分）</w:t>
            </w: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捐赠票据管理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198" w:type="dxa"/>
            <w:vMerge w:val="continue"/>
            <w:tcBorders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tcBorders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continue"/>
            <w:tcBorders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捐赠票据使用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198" w:type="dxa"/>
            <w:vMerge w:val="continue"/>
            <w:tcBorders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tcBorders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continue"/>
            <w:tcBorders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捐赠协议签订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198" w:type="dxa"/>
            <w:vMerge w:val="continue"/>
            <w:tcBorders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tcBorders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continue"/>
            <w:tcBorders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附条件捐赠符合规定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198" w:type="dxa"/>
            <w:vMerge w:val="continue"/>
            <w:tcBorders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tcBorders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continue"/>
            <w:tcBorders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非货币捐赠管理制度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198" w:type="dxa"/>
            <w:vMerge w:val="continue"/>
            <w:tcBorders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tcBorders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continue"/>
            <w:tcBorders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非货币捐赠公允价值确定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198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内部治理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（360分）</w:t>
            </w:r>
          </w:p>
        </w:tc>
        <w:tc>
          <w:tcPr>
            <w:tcW w:w="936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财务管理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（255分）</w:t>
            </w:r>
          </w:p>
        </w:tc>
        <w:tc>
          <w:tcPr>
            <w:tcW w:w="1924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投资管理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（20分）</w:t>
            </w: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投资管理制度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198" w:type="dxa"/>
            <w:vMerge w:val="continue"/>
            <w:tcBorders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投资决策程序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198" w:type="dxa"/>
            <w:vMerge w:val="continue"/>
            <w:tcBorders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投资监督管理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198" w:type="dxa"/>
            <w:vMerge w:val="continue"/>
            <w:tcBorders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投资收益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198" w:type="dxa"/>
            <w:vMerge w:val="continue"/>
            <w:tcBorders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货币资金和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实物资产管理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（30分）</w:t>
            </w: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货币资金管理制度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198" w:type="dxa"/>
            <w:vMerge w:val="continue"/>
            <w:tcBorders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货币资金使用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198" w:type="dxa"/>
            <w:vMerge w:val="continue"/>
            <w:tcBorders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实物资产管理制度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198" w:type="dxa"/>
            <w:vMerge w:val="continue"/>
            <w:tcBorders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实物资产使用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198" w:type="dxa"/>
            <w:vMerge w:val="continue"/>
            <w:tcBorders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公益项目</w:t>
            </w:r>
            <w:bookmarkStart w:id="0" w:name="_GoBack"/>
            <w:bookmarkEnd w:id="0"/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财务管理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（40分）</w:t>
            </w: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项目财务管理制度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198" w:type="dxa"/>
            <w:vMerge w:val="continue"/>
            <w:tcBorders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物资及服务采购管理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198" w:type="dxa"/>
            <w:vMerge w:val="continue"/>
            <w:tcBorders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项目资金使用及监督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198" w:type="dxa"/>
            <w:vMerge w:val="continue"/>
            <w:tcBorders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物资捐赠使用及监督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198" w:type="dxa"/>
            <w:vMerge w:val="continue"/>
            <w:tcBorders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000000" w:themeColor="text1"/>
                <w:kern w:val="0"/>
                <w:sz w:val="21"/>
                <w:szCs w:val="21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 w:themeColor="text1"/>
                <w:kern w:val="0"/>
                <w:sz w:val="21"/>
                <w:szCs w:val="21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关联方及关联</w:t>
            </w:r>
            <w:r>
              <w:rPr>
                <w:rFonts w:hint="default" w:ascii="Times New Roman" w:hAnsi="Times New Roman" w:eastAsia="宋体" w:cs="Times New Roman"/>
                <w:i w:val="0"/>
                <w:color w:val="000000" w:themeColor="text1"/>
                <w:kern w:val="0"/>
                <w:sz w:val="21"/>
                <w:szCs w:val="21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color w:val="000000" w:themeColor="text1"/>
                <w:kern w:val="0"/>
                <w:sz w:val="21"/>
                <w:szCs w:val="21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交易管理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 w:themeColor="text1"/>
                <w:kern w:val="0"/>
                <w:sz w:val="21"/>
                <w:szCs w:val="21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（20分）</w:t>
            </w: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关联方及关联交易管理制度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198" w:type="dxa"/>
            <w:vMerge w:val="continue"/>
            <w:tcBorders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continue"/>
            <w:tcBorders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关联交易管理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198" w:type="dxa"/>
            <w:vMerge w:val="continue"/>
            <w:tcBorders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continue"/>
            <w:tcBorders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关联方及关联交易披露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198" w:type="dxa"/>
            <w:vMerge w:val="continue"/>
            <w:tcBorders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财务监督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（25分）</w:t>
            </w: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理事会监督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198" w:type="dxa"/>
            <w:vMerge w:val="continue"/>
            <w:tcBorders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监事监督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198" w:type="dxa"/>
            <w:vMerge w:val="continue"/>
            <w:tcBorders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换届、离任审计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198" w:type="dxa"/>
            <w:vMerge w:val="continue"/>
            <w:tcBorders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重大项目专项审计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198" w:type="dxa"/>
            <w:vMerge w:val="continue"/>
            <w:tcBorders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年度审计报告符合《基金会财务报告审计指引》要求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2" w:hRule="atLeast"/>
          <w:jc w:val="center"/>
        </w:trPr>
        <w:tc>
          <w:tcPr>
            <w:tcW w:w="1198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工作绩效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（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380分</w:t>
            </w: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）</w:t>
            </w:r>
          </w:p>
        </w:tc>
        <w:tc>
          <w:tcPr>
            <w:tcW w:w="936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社会捐赠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（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50分</w:t>
            </w: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）</w:t>
            </w:r>
          </w:p>
        </w:tc>
        <w:tc>
          <w:tcPr>
            <w:tcW w:w="19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年度捐赠收入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（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50分</w:t>
            </w: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）</w:t>
            </w: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接受资金和物资总额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2" w:hRule="atLeast"/>
          <w:jc w:val="center"/>
        </w:trPr>
        <w:tc>
          <w:tcPr>
            <w:tcW w:w="1198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规划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与计划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（15分）</w:t>
            </w:r>
          </w:p>
        </w:tc>
        <w:tc>
          <w:tcPr>
            <w:tcW w:w="19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发展规划（5分）</w:t>
            </w: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明确合理的发展规划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2" w:hRule="atLeast"/>
          <w:jc w:val="center"/>
        </w:trPr>
        <w:tc>
          <w:tcPr>
            <w:tcW w:w="1198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年度计划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与实施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（10分）</w:t>
            </w: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年度工作计划制定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2" w:hRule="atLeast"/>
          <w:jc w:val="center"/>
        </w:trPr>
        <w:tc>
          <w:tcPr>
            <w:tcW w:w="1198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年度工作计划落实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2" w:hRule="atLeast"/>
          <w:jc w:val="center"/>
        </w:trPr>
        <w:tc>
          <w:tcPr>
            <w:tcW w:w="1198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公益项目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（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245分</w:t>
            </w: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）</w:t>
            </w:r>
          </w:p>
        </w:tc>
        <w:tc>
          <w:tcPr>
            <w:tcW w:w="1924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公益项目规模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（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70分</w:t>
            </w: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）</w:t>
            </w: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公益事业支出金额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b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2" w:hRule="atLeast"/>
          <w:jc w:val="center"/>
        </w:trPr>
        <w:tc>
          <w:tcPr>
            <w:tcW w:w="1198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tcBorders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公益事业支出比例符合规定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2" w:hRule="atLeast"/>
          <w:jc w:val="center"/>
        </w:trPr>
        <w:tc>
          <w:tcPr>
            <w:tcW w:w="1198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tcBorders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管理费用支出比例符合规定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2" w:hRule="atLeast"/>
          <w:jc w:val="center"/>
        </w:trPr>
        <w:tc>
          <w:tcPr>
            <w:tcW w:w="1198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tcBorders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项目公益性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（20分）</w:t>
            </w: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项目符合宗旨和业务范围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2" w:hRule="atLeast"/>
          <w:jc w:val="center"/>
        </w:trPr>
        <w:tc>
          <w:tcPr>
            <w:tcW w:w="1198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tcBorders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项目内容具有公共利益属性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2" w:hRule="atLeast"/>
          <w:jc w:val="center"/>
        </w:trPr>
        <w:tc>
          <w:tcPr>
            <w:tcW w:w="1198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tcBorders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项目受益人选择满足公开公平公正要求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2" w:hRule="atLeast"/>
          <w:jc w:val="center"/>
        </w:trPr>
        <w:tc>
          <w:tcPr>
            <w:tcW w:w="1198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tcBorders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项目运作管理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（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55分</w:t>
            </w: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）</w:t>
            </w: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项目管理制度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2" w:hRule="atLeast"/>
          <w:jc w:val="center"/>
        </w:trPr>
        <w:tc>
          <w:tcPr>
            <w:tcW w:w="1198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tcBorders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continue"/>
            <w:tcBorders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项目立项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2" w:hRule="atLeast"/>
          <w:jc w:val="center"/>
        </w:trPr>
        <w:tc>
          <w:tcPr>
            <w:tcW w:w="1198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tcBorders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continue"/>
            <w:tcBorders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项目实施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2" w:hRule="atLeast"/>
          <w:jc w:val="center"/>
        </w:trPr>
        <w:tc>
          <w:tcPr>
            <w:tcW w:w="1198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tcBorders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continue"/>
            <w:tcBorders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项目监督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2" w:hRule="atLeast"/>
          <w:jc w:val="center"/>
        </w:trPr>
        <w:tc>
          <w:tcPr>
            <w:tcW w:w="1198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tcBorders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continue"/>
            <w:tcBorders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项目总结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2" w:hRule="atLeast"/>
          <w:jc w:val="center"/>
        </w:trPr>
        <w:tc>
          <w:tcPr>
            <w:tcW w:w="1198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tcBorders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continue"/>
            <w:tcBorders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专项基金管理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2" w:hRule="atLeast"/>
          <w:jc w:val="center"/>
        </w:trPr>
        <w:tc>
          <w:tcPr>
            <w:tcW w:w="1198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tcBorders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项目专业性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（20分）</w:t>
            </w: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项目执行方的合理选择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2" w:hRule="atLeast"/>
          <w:jc w:val="center"/>
        </w:trPr>
        <w:tc>
          <w:tcPr>
            <w:tcW w:w="1198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tcBorders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项目风险防控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  <w:lang w:val="en-US" w:eastAsia="zh-CN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2" w:hRule="atLeast"/>
          <w:jc w:val="center"/>
        </w:trPr>
        <w:tc>
          <w:tcPr>
            <w:tcW w:w="1198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tcBorders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项目的积累与发展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2" w:hRule="atLeast"/>
          <w:jc w:val="center"/>
        </w:trPr>
        <w:tc>
          <w:tcPr>
            <w:tcW w:w="1198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tcBorders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项目效果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（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30分</w:t>
            </w: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）</w:t>
            </w: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项目效果阐述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2" w:hRule="atLeast"/>
          <w:jc w:val="center"/>
        </w:trPr>
        <w:tc>
          <w:tcPr>
            <w:tcW w:w="1198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tcBorders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项目目标达成情况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12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2" w:hRule="atLeast"/>
          <w:jc w:val="center"/>
        </w:trPr>
        <w:tc>
          <w:tcPr>
            <w:tcW w:w="1198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tcBorders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项目社会影响力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2" w:hRule="atLeast"/>
          <w:jc w:val="center"/>
        </w:trPr>
        <w:tc>
          <w:tcPr>
            <w:tcW w:w="1198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tcBorders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社会责任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（50分）</w:t>
            </w: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开展社会公益责任（脱贫攻坚、抗疫防疫、“五个专项行动、抗疫、乡村振兴等）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198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工作绩效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（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380分</w:t>
            </w: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）</w:t>
            </w:r>
          </w:p>
        </w:tc>
        <w:tc>
          <w:tcPr>
            <w:tcW w:w="936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信息公开与宣传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（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70分</w:t>
            </w:r>
            <w:r>
              <w:rPr>
                <w:rFonts w:hint="eastAsia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）</w:t>
            </w:r>
          </w:p>
        </w:tc>
        <w:tc>
          <w:tcPr>
            <w:tcW w:w="1924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信息公开管理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（15分）</w:t>
            </w: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信息公开制度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198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信息公开负责人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198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信息公开档案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198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公开接受、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使用社会捐赠情况（25分）</w:t>
            </w: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接收捐款数额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198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资金使用情况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198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发布年度工作报告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198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公开公益资助项目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种类、申请、评审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程序以及评估结果（15分）</w:t>
            </w: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公益资助项目种类以及申请、评审程序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198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选定受助对象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198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项目评估结果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198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社会宣传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（15分）</w:t>
            </w: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网站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198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刊物和宣传资料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198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媒体报道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80" w:hRule="atLeast"/>
          <w:jc w:val="center"/>
        </w:trPr>
        <w:tc>
          <w:tcPr>
            <w:tcW w:w="1198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社会评价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（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100分</w:t>
            </w:r>
            <w:r>
              <w:rPr>
                <w:rFonts w:hint="eastAsia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）</w:t>
            </w:r>
          </w:p>
        </w:tc>
        <w:tc>
          <w:tcPr>
            <w:tcW w:w="936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内部评价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（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20分</w:t>
            </w:r>
            <w:r>
              <w:rPr>
                <w:rFonts w:hint="eastAsia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）</w:t>
            </w:r>
          </w:p>
        </w:tc>
        <w:tc>
          <w:tcPr>
            <w:tcW w:w="19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理事监事评价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（10分</w:t>
            </w:r>
            <w:r>
              <w:rPr>
                <w:rFonts w:hint="eastAsia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）</w:t>
            </w: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pacing w:val="-6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spacing w:val="-6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对基金会民主决策、领导班子履职、筹资能力等方面的评价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80" w:hRule="atLeast"/>
          <w:jc w:val="center"/>
        </w:trPr>
        <w:tc>
          <w:tcPr>
            <w:tcW w:w="1198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工作人员评价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（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10分</w:t>
            </w:r>
            <w:r>
              <w:rPr>
                <w:rFonts w:hint="eastAsia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）</w:t>
            </w: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pacing w:val="-6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spacing w:val="-6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对秘书长工作、财务管理、资金使用等方面的评价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80" w:hRule="atLeast"/>
          <w:jc w:val="center"/>
        </w:trPr>
        <w:tc>
          <w:tcPr>
            <w:tcW w:w="1198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公众评价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（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20分</w:t>
            </w:r>
            <w:r>
              <w:rPr>
                <w:rFonts w:hint="eastAsia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）</w:t>
            </w:r>
          </w:p>
        </w:tc>
        <w:tc>
          <w:tcPr>
            <w:tcW w:w="19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捐赠人评价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（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10分</w:t>
            </w:r>
            <w:r>
              <w:rPr>
                <w:rFonts w:hint="eastAsia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）</w:t>
            </w: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pacing w:val="-6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spacing w:val="-6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对基金会公益性、资金使用反馈、项目效果等方面的评价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80" w:hRule="atLeast"/>
          <w:jc w:val="center"/>
        </w:trPr>
        <w:tc>
          <w:tcPr>
            <w:tcW w:w="1198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受助人评价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（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10分</w:t>
            </w:r>
            <w:r>
              <w:rPr>
                <w:rFonts w:hint="eastAsia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）</w:t>
            </w: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pacing w:val="-6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spacing w:val="-6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对基金会规范性、项目管理、项目效果等方面的评价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80" w:hRule="atLeast"/>
          <w:jc w:val="center"/>
        </w:trPr>
        <w:tc>
          <w:tcPr>
            <w:tcW w:w="1198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管理部门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评价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（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60分</w:t>
            </w:r>
            <w:r>
              <w:rPr>
                <w:rFonts w:hint="eastAsia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）</w:t>
            </w:r>
          </w:p>
        </w:tc>
        <w:tc>
          <w:tcPr>
            <w:tcW w:w="19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登记管理机关评价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（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30分</w:t>
            </w:r>
            <w:r>
              <w:rPr>
                <w:rFonts w:hint="eastAsia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）</w:t>
            </w: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pacing w:val="-6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spacing w:val="-6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对基金会规范化建设、财务管理、信息公开、作用发挥等方面的评价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30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80" w:hRule="atLeast"/>
          <w:jc w:val="center"/>
        </w:trPr>
        <w:tc>
          <w:tcPr>
            <w:tcW w:w="1198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业务主管单位评价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（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20分</w:t>
            </w:r>
            <w:r>
              <w:rPr>
                <w:rFonts w:hint="eastAsia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）</w:t>
            </w: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pacing w:val="-6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spacing w:val="-6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对基金会规范管理、领导班子、党建工作、作用发挥等方面的评价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80" w:hRule="atLeast"/>
          <w:jc w:val="center"/>
        </w:trPr>
        <w:tc>
          <w:tcPr>
            <w:tcW w:w="1198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93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19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表彰奖励情况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（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10分</w:t>
            </w:r>
            <w:r>
              <w:rPr>
                <w:rFonts w:hint="eastAsia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）</w:t>
            </w:r>
          </w:p>
        </w:tc>
        <w:tc>
          <w:tcPr>
            <w:tcW w:w="45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政府部门对基金会和公益项目的表彰奖励情况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10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default" w:ascii="Times New Roman" w:hAnsi="Times New Roman" w:cs="Times New Roman"/>
          <w:sz w:val="18"/>
          <w:szCs w:val="18"/>
          <w:highlight w:val="none"/>
        </w:rPr>
      </w:pPr>
    </w:p>
    <w:sectPr>
      <w:footerReference r:id="rId3" w:type="default"/>
      <w:pgSz w:w="11906" w:h="16838"/>
      <w:pgMar w:top="2154" w:right="1474" w:bottom="1361" w:left="1587" w:header="0" w:footer="1417" w:gutter="0"/>
      <w:pgNumType w:fmt="decimal"/>
      <w:cols w:space="0" w:num="1"/>
      <w:rtlGutter w:val="0"/>
      <w:docGrid w:type="lines" w:linePitch="324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A00002EF" w:usb1="4000004B" w:usb2="00000000" w:usb3="00000000" w:csb0="2000009F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snapToGrid w:val="0"/>
                            <w:rPr>
                              <w:rFonts w:hint="default" w:ascii="Times New Roman" w:hAnsi="Times New Roman" w:cs="Times New Roman" w:eastAsiaTheme="minorEastAsia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  <w:lang w:val="en-US" w:eastAsia="zh-CN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default" w:ascii="Times New Roman" w:hAnsi="Times New Roman" w:cs="Times New Roman" w:eastAsiaTheme="minorEastAsia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  <w:lang w:eastAsia="zh-CN"/>
                      </w:rPr>
                      <w:t>—</w: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  <w:lang w:eastAsia="zh-CN"/>
                      </w:rPr>
                      <w:fldChar w:fldCharType="end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  <w:lang w:val="en-US" w:eastAsia="zh-CN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0"/>
  <w:bordersDoNotSurroundFooter w:val="0"/>
  <w:documentProtection w:enforcement="0"/>
  <w:defaultTabStop w:val="420"/>
  <w:drawingGridVerticalSpacing w:val="162"/>
  <w:displayHorizontalDrawingGridEvery w:val="1"/>
  <w:displayVerticalDrawingGridEvery w:val="2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6D2374F"/>
    <w:rsid w:val="0067111A"/>
    <w:rsid w:val="00DA1194"/>
    <w:rsid w:val="01CD23F5"/>
    <w:rsid w:val="06D066E1"/>
    <w:rsid w:val="08D91229"/>
    <w:rsid w:val="0A0E0A51"/>
    <w:rsid w:val="0B4B0F9A"/>
    <w:rsid w:val="0CE353E1"/>
    <w:rsid w:val="0CF57FFA"/>
    <w:rsid w:val="0F3000E6"/>
    <w:rsid w:val="0F3D69BC"/>
    <w:rsid w:val="167430B4"/>
    <w:rsid w:val="17CC74A9"/>
    <w:rsid w:val="1A367C38"/>
    <w:rsid w:val="1D493347"/>
    <w:rsid w:val="1D9843DB"/>
    <w:rsid w:val="1E73714A"/>
    <w:rsid w:val="20EC2103"/>
    <w:rsid w:val="211E6043"/>
    <w:rsid w:val="25A00C98"/>
    <w:rsid w:val="25CD1A2F"/>
    <w:rsid w:val="2E1B3ECD"/>
    <w:rsid w:val="31484654"/>
    <w:rsid w:val="334947C0"/>
    <w:rsid w:val="33FC07C2"/>
    <w:rsid w:val="356127A2"/>
    <w:rsid w:val="36B61A14"/>
    <w:rsid w:val="36D2374F"/>
    <w:rsid w:val="37F336D2"/>
    <w:rsid w:val="38DF14CD"/>
    <w:rsid w:val="3A6624C7"/>
    <w:rsid w:val="3B4C7A60"/>
    <w:rsid w:val="3BAF45F4"/>
    <w:rsid w:val="3BD66E92"/>
    <w:rsid w:val="3D950678"/>
    <w:rsid w:val="3E311C89"/>
    <w:rsid w:val="3F555A23"/>
    <w:rsid w:val="407F6B5F"/>
    <w:rsid w:val="452167A1"/>
    <w:rsid w:val="4B843323"/>
    <w:rsid w:val="4F674E60"/>
    <w:rsid w:val="5004723D"/>
    <w:rsid w:val="507C4DB5"/>
    <w:rsid w:val="51030CC0"/>
    <w:rsid w:val="53505CED"/>
    <w:rsid w:val="54296F37"/>
    <w:rsid w:val="57DC3A2B"/>
    <w:rsid w:val="5B292F37"/>
    <w:rsid w:val="5C9E7F44"/>
    <w:rsid w:val="64E57B24"/>
    <w:rsid w:val="68967374"/>
    <w:rsid w:val="68C44555"/>
    <w:rsid w:val="6B4C1A92"/>
    <w:rsid w:val="6EC30EF9"/>
    <w:rsid w:val="6F570F4E"/>
    <w:rsid w:val="703D6542"/>
    <w:rsid w:val="72910C92"/>
    <w:rsid w:val="73011206"/>
    <w:rsid w:val="75210C96"/>
    <w:rsid w:val="783648D4"/>
    <w:rsid w:val="7B38504F"/>
    <w:rsid w:val="7DA21F9A"/>
    <w:rsid w:val="7FBA15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character" w:customStyle="1" w:styleId="6">
    <w:name w:val="font21"/>
    <w:basedOn w:val="4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7">
    <w:name w:val="font161"/>
    <w:basedOn w:val="4"/>
    <w:qFormat/>
    <w:uiPriority w:val="0"/>
    <w:rPr>
      <w:rFonts w:ascii="Wingdings 2" w:hAnsi="Wingdings 2" w:eastAsia="Wingdings 2" w:cs="Wingdings 2"/>
      <w:color w:val="000000"/>
      <w:sz w:val="20"/>
      <w:szCs w:val="20"/>
      <w:u w:val="none"/>
    </w:rPr>
  </w:style>
  <w:style w:type="character" w:customStyle="1" w:styleId="8">
    <w:name w:val="font61"/>
    <w:basedOn w:val="4"/>
    <w:qFormat/>
    <w:uiPriority w:val="0"/>
    <w:rPr>
      <w:rFonts w:hint="eastAsia" w:ascii="宋体" w:hAnsi="宋体" w:eastAsia="宋体" w:cs="宋体"/>
      <w:b/>
      <w:color w:val="000000"/>
      <w:sz w:val="20"/>
      <w:szCs w:val="20"/>
      <w:u w:val="none"/>
    </w:rPr>
  </w:style>
  <w:style w:type="character" w:customStyle="1" w:styleId="9">
    <w:name w:val="font221"/>
    <w:basedOn w:val="4"/>
    <w:qFormat/>
    <w:uiPriority w:val="0"/>
    <w:rPr>
      <w:rFonts w:hint="eastAsia" w:ascii="宋体" w:hAnsi="宋体" w:eastAsia="宋体" w:cs="宋体"/>
      <w:color w:val="000000"/>
      <w:sz w:val="20"/>
      <w:szCs w:val="20"/>
      <w:u w:val="single"/>
    </w:rPr>
  </w:style>
  <w:style w:type="character" w:customStyle="1" w:styleId="10">
    <w:name w:val="font121"/>
    <w:basedOn w:val="4"/>
    <w:qFormat/>
    <w:uiPriority w:val="0"/>
    <w:rPr>
      <w:rFonts w:hint="default" w:ascii="Times New Roman" w:hAnsi="Times New Roman" w:cs="Times New Roman"/>
      <w:b/>
      <w:color w:val="000000"/>
      <w:sz w:val="20"/>
      <w:szCs w:val="20"/>
      <w:u w:val="none"/>
    </w:rPr>
  </w:style>
  <w:style w:type="character" w:customStyle="1" w:styleId="11">
    <w:name w:val="font41"/>
    <w:basedOn w:val="4"/>
    <w:qFormat/>
    <w:uiPriority w:val="0"/>
    <w:rPr>
      <w:rFonts w:hint="eastAsia" w:ascii="宋体" w:hAnsi="宋体" w:eastAsia="宋体" w:cs="宋体"/>
      <w:b/>
      <w:color w:val="000000"/>
      <w:sz w:val="20"/>
      <w:szCs w:val="20"/>
      <w:u w:val="none"/>
    </w:rPr>
  </w:style>
  <w:style w:type="character" w:customStyle="1" w:styleId="12">
    <w:name w:val="font231"/>
    <w:basedOn w:val="4"/>
    <w:qFormat/>
    <w:uiPriority w:val="0"/>
    <w:rPr>
      <w:rFonts w:hint="eastAsia" w:ascii="宋体" w:hAnsi="宋体" w:eastAsia="宋体" w:cs="宋体"/>
      <w:b/>
      <w:color w:val="000000"/>
      <w:sz w:val="20"/>
      <w:szCs w:val="20"/>
      <w:u w:val="single"/>
    </w:rPr>
  </w:style>
  <w:style w:type="character" w:customStyle="1" w:styleId="13">
    <w:name w:val="font111"/>
    <w:basedOn w:val="4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14">
    <w:name w:val="font81"/>
    <w:basedOn w:val="4"/>
    <w:qFormat/>
    <w:uiPriority w:val="0"/>
    <w:rPr>
      <w:rFonts w:hint="eastAsia" w:ascii="宋体" w:hAnsi="宋体" w:eastAsia="宋体" w:cs="宋体"/>
      <w:b/>
      <w:color w:val="000000"/>
      <w:sz w:val="20"/>
      <w:szCs w:val="20"/>
      <w:u w:val="none"/>
    </w:rPr>
  </w:style>
  <w:style w:type="character" w:customStyle="1" w:styleId="15">
    <w:name w:val="font31"/>
    <w:basedOn w:val="4"/>
    <w:qFormat/>
    <w:uiPriority w:val="0"/>
    <w:rPr>
      <w:rFonts w:hint="eastAsia" w:ascii="宋体" w:hAnsi="宋体" w:eastAsia="宋体" w:cs="宋体"/>
      <w:b/>
      <w:color w:val="000000"/>
      <w:sz w:val="22"/>
      <w:szCs w:val="22"/>
      <w:u w:val="none"/>
    </w:rPr>
  </w:style>
  <w:style w:type="character" w:customStyle="1" w:styleId="16">
    <w:name w:val="font11"/>
    <w:basedOn w:val="4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character" w:customStyle="1" w:styleId="17">
    <w:name w:val="font91"/>
    <w:basedOn w:val="4"/>
    <w:qFormat/>
    <w:uiPriority w:val="0"/>
    <w:rPr>
      <w:rFonts w:hint="eastAsia" w:ascii="宋体" w:hAnsi="宋体" w:eastAsia="宋体" w:cs="宋体"/>
      <w:b/>
      <w:color w:val="000000"/>
      <w:sz w:val="22"/>
      <w:szCs w:val="22"/>
      <w:u w:val="single"/>
    </w:rPr>
  </w:style>
  <w:style w:type="character" w:customStyle="1" w:styleId="18">
    <w:name w:val="font101"/>
    <w:basedOn w:val="4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19">
    <w:name w:val="font71"/>
    <w:basedOn w:val="4"/>
    <w:qFormat/>
    <w:uiPriority w:val="0"/>
    <w:rPr>
      <w:rFonts w:hint="eastAsia" w:ascii="宋体" w:hAnsi="宋体" w:eastAsia="宋体" w:cs="宋体"/>
      <w:b/>
      <w:color w:val="000000"/>
      <w:sz w:val="20"/>
      <w:szCs w:val="20"/>
      <w:u w:val="none"/>
    </w:rPr>
  </w:style>
  <w:style w:type="character" w:customStyle="1" w:styleId="20">
    <w:name w:val="font51"/>
    <w:basedOn w:val="4"/>
    <w:qFormat/>
    <w:uiPriority w:val="0"/>
    <w:rPr>
      <w:rFonts w:hint="eastAsia" w:ascii="宋体" w:hAnsi="宋体" w:eastAsia="宋体" w:cs="宋体"/>
      <w:b/>
      <w:color w:val="000000"/>
      <w:sz w:val="24"/>
      <w:szCs w:val="24"/>
      <w:u w:val="none"/>
    </w:rPr>
  </w:style>
  <w:style w:type="character" w:customStyle="1" w:styleId="21">
    <w:name w:val="font01"/>
    <w:basedOn w:val="4"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Office_10.1.0.6393_F1E327BC-269C-435d-A152-05C5408002CA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2021-05-16T02:36:00Z</dcterms:created>
  <dc:creator>Administrator</dc:creator>
  <cp:lastModifiedBy>Administrator</cp:lastModifiedBy>
  <cp:lastPrinted>2021-09-09T01:51:40Z</cp:lastPrinted>
  <dcterms:modified xsi:type="dcterms:W3CDTF">2021-09-09T01:52:17Z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2052-10.1.0.6393</vt:lpwstr>
  </property>
  <property fmtid="{D5CDD505-2E9C-101B-9397-08002B2CF9AE}" pid="3" name="ICV">
    <vt:lpwstr>5EECFAA431794DD1BBDE9FA9673887E7</vt:lpwstr>
  </property>
</Properties>
</file>