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62" w:beforeLines="50" w:after="162" w:afterLines="50" w:line="58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湖南省学术类社会团体等级评估指标</w:t>
      </w:r>
    </w:p>
    <w:tbl>
      <w:tblPr>
        <w:tblStyle w:val="4"/>
        <w:tblW w:w="906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3"/>
        <w:gridCol w:w="935"/>
        <w:gridCol w:w="1922"/>
        <w:gridCol w:w="4377"/>
        <w:gridCol w:w="74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tblHeader/>
          <w:jc w:val="center"/>
        </w:trPr>
        <w:tc>
          <w:tcPr>
            <w:tcW w:w="108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kern w:val="0"/>
                <w:szCs w:val="21"/>
                <w:lang w:bidi="ar"/>
              </w:rPr>
              <w:t>一级指标</w:t>
            </w:r>
          </w:p>
        </w:tc>
        <w:tc>
          <w:tcPr>
            <w:tcW w:w="93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kern w:val="0"/>
                <w:szCs w:val="21"/>
                <w:lang w:bidi="ar"/>
              </w:rPr>
              <w:t>二级指标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kern w:val="0"/>
                <w:szCs w:val="21"/>
                <w:lang w:bidi="ar"/>
              </w:rPr>
              <w:t>三级指标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kern w:val="0"/>
                <w:szCs w:val="21"/>
                <w:lang w:bidi="ar"/>
              </w:rPr>
              <w:t>四级指标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kern w:val="0"/>
                <w:szCs w:val="21"/>
                <w:lang w:bidi="ar"/>
              </w:rPr>
              <w:t>分值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基础条件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60分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法人资格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25分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法定代表人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5分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任职资格符合规定（5分）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FF000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活动资金（5分）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年末</w:t>
            </w:r>
            <w:bookmarkStart w:id="0" w:name="_GoBack"/>
            <w:bookmarkEnd w:id="0"/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净资产不低于注册资金（5分）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名称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5分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名称牌匾悬挂情况（5分）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住所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10分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有独立的办公用房（5分）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主要办事机构所在地登记为住所（5分）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登记管理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35分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章程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12分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章程制定（修改）程序符合规定（5分）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章程修改后履行核准程序（7分）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登记和备案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13分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名称、业务范围、住所、注册资金、法定代表人、业务主管单位等按规定办理变更登记（5分）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6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负责人按规定办理备案（8分）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FF000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年检（10分）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年检结论（10分）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党建情况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（100分）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FF000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党建工作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（65分）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党的建设和社会主义核心价值观载入章程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（10分）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坚持党的全面领导载入章程（5分）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FF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社会主义核心价值观载入章程（5分）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FF0000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党组织建立情况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FF000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（15分）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党组织建立情况（15分）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FF000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党组织活动情况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（40分）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组织生活制度落实情况（10分）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FF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FF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组织党员开展活动情况（10分）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党组织发挥作用情况（20分）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阵地建设和经费保障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（35分）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阵地建设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（25分）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阵地建设情况（10分）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档案管理情况（10分）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党建情况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（100分）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阵地建设和经费保障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（35分）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阵地建设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（25分）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党员管理情况（5分）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党建经费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（10分）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党支部书记参与理事会、会员代表大会情况（5分）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每年对党建活动有专项资金列支（5分）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内部</w:t>
            </w:r>
          </w:p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治理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（365分）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组织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机构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80分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发展规划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5分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发展规划制定情况（5分）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会员（代表）大会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8分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会议方案及会员代表产生办法（3分）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按章程召开会员（代表）大会（5分）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理事会、常务理事会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25分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按期换届情况（4分）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理事产生及理事会召开情况（6分）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常务理事产生及常务理事会召开情况（6分）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会议纪要规范（4分）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理事会（常务理事会）按章程履行职权（5分）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监事或监事会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（4分）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设立情况（2分）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作用发挥（2分）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民主决策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13分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会员（代表）大会表决事项及表决形式（7分）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负责人产生形式（6分）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分支（代表）机构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25分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设立程序符合规定（5分）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FF000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名称使用符合规定（5分）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FF000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制定管理办法（2分）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管理及工作开展情况（13分）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FF000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人力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资源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45分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负责人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20分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FF000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党政领导干部（含退离休）兼职和取酬情况（7分）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年龄届次符合规定（8分）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内部</w:t>
            </w:r>
          </w:p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治理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（365分）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人力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资源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45分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负责人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20分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秘书长专职（5分）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人事管理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25分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专职工作人员数量（7分）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劳动合同签订及薪酬管理（5分）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FF000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组织或参加法律法规或业务培训（8分）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FF000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社会保险及住房公积金（5分）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FF000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档案、证章管理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15分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管理制度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5分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档案、证章管理制度（5分）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管理情况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10分</w:t>
            </w:r>
            <w:r>
              <w:rPr>
                <w:rStyle w:val="28"/>
                <w:rFonts w:hint="default" w:asciiTheme="minorEastAsia" w:hAnsiTheme="minorEastAsia" w:cstheme="minorEastAsia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档案、证章管理情况（10分）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财务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资产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（225分）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合法运营（35分）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经费来源和资金使用（15分）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资金列入符合规定的单位账簿（20分）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会计人员（12分）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会计人员配备（5分）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会计人员岗位职责（3分）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会计机构负责人（2分）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会计人员变动（2分）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会计核算（45分）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核算流程（3分）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账务处理（30分）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30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会计电算化（7分）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会计档案管理（5分）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货币资金和实物资产管理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（24分）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货币资金管理制度（2分）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货币资金使用（10分）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实物资产管理制度（2分）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内部</w:t>
            </w:r>
          </w:p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治理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（365分）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财务</w:t>
            </w:r>
          </w:p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资产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（225分）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货币资金和实物资产管理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（24分）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实物资产使用（10分）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投资管理（12分）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投资管理制度（2分）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投资管理（10分）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业务收支（35分）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会费标准（5分）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收入管理（15分）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支出管理（15分）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shd w:val="clear" w:color="auto" w:fill="FFFFFF" w:themeFill="background1"/>
                <w:lang w:bidi="ar"/>
              </w:rPr>
              <w:t>分支机构财务管理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shd w:val="clear" w:color="auto" w:fill="FFFFFF" w:themeFill="background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shd w:val="clear" w:color="auto" w:fill="FFFFFF" w:themeFill="background1"/>
                <w:lang w:bidi="ar"/>
              </w:rPr>
              <w:t>（20分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管理制度（5分）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管理情况（15分）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税收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和票据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（20分）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纳税管理（4分）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票据管理（5分）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会费收据使用（8分）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捐赠票据使用（3分）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sz w:val="21"/>
                <w:szCs w:val="21"/>
                <w:lang w:bidi="ar"/>
              </w:rPr>
              <w:t>财务报告（10分）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财务报告制度（2分）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财务报告编制（8分）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财务监督（12分）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监督制度（2分）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监事监督（3分）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换届审计（3分）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离任审计（4分）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工作</w:t>
            </w:r>
          </w:p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绩效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（375分）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学术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活动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（210分）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学术会议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45分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主办国内学术会议次数（10分）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出席学术会议人员情况（10分）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工作</w:t>
            </w:r>
          </w:p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绩效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（375分）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学术</w:t>
            </w:r>
          </w:p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活动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（210分）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学术会议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45分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学术会议交流论文情况（15分）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主办国内学术会议的影响力（10分）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学术书刊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35分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专业期刊（15分）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内部资料（5分）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专业书籍（15分）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学术研究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45分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学术发展规划（10分）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承担课题（15分）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组织课题（10分）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研究成果（10分）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学术自律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15分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学术自律制度及实施（15分）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科普活动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（20分）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科普活动次数（5分）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科普活动方式（5分）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科普活动影响力（10分）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Cs/>
                <w:szCs w:val="21"/>
              </w:rPr>
            </w:pPr>
            <w:r>
              <w:rPr>
                <w:rFonts w:hint="eastAsia" w:asciiTheme="minorEastAsia" w:hAnsiTheme="minorEastAsia" w:cstheme="minorEastAsia"/>
                <w:bCs/>
                <w:kern w:val="0"/>
                <w:szCs w:val="21"/>
                <w:lang w:bidi="ar"/>
              </w:rPr>
              <w:t>社会责任（50分）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bCs/>
                <w:szCs w:val="21"/>
              </w:rPr>
            </w:pPr>
            <w:r>
              <w:rPr>
                <w:rFonts w:hint="eastAsia" w:asciiTheme="minorEastAsia" w:hAnsiTheme="minorEastAsia" w:cstheme="minorEastAsia"/>
                <w:bCs/>
                <w:kern w:val="0"/>
                <w:szCs w:val="21"/>
                <w:lang w:bidi="ar"/>
              </w:rPr>
              <w:t>社会责任和亮点、业务创新工作（例如：推进安全生产、脱贫攻坚、节能减排、抗疫防疫以及指标未涵盖或亮点工作、创新工作业绩十分突出）（50分）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b/>
                <w:szCs w:val="21"/>
              </w:rPr>
            </w:pPr>
            <w:r>
              <w:rPr>
                <w:rFonts w:hint="eastAsia" w:asciiTheme="minorEastAsia" w:hAnsiTheme="minorEastAsia" w:cstheme="minorEastAsia"/>
                <w:bCs/>
                <w:kern w:val="0"/>
                <w:szCs w:val="21"/>
                <w:lang w:bidi="ar"/>
              </w:rPr>
              <w:t>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建议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咨询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（50分）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政策建议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20分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参与制定法律法规或发展规划（10分）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提出政策建议（10分）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咨询评估（30分）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专业咨询服务（10分）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标准制定（10分）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开展技能人才评价工作（10分）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人才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建设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（65分）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人才培养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45分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继续教育及培训（10分）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青年人才培养（10分）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工作</w:t>
            </w:r>
          </w:p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绩效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（375分）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人才</w:t>
            </w:r>
          </w:p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建设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（65分）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人才培养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45分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专业人才举荐（5分）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按规定开展评比达标表彰活动（20分）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会员服务与管理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20分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会员管理（10分）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会员服务（5分）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会费收缴情况（5分）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信息公开与宣传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br w:type="textWrapping"/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35分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平台建设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20分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信息平台种类（10分）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网站建设（5分）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新闻发言人（5分）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公开内容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15分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基本信息（登记事项、章程、组织机构、负责人等）（5分）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年度工作报告、财务工作报告（5分）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会费收支情况（5分）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国际、国内交流与合作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（15分）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活动参与（10分）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国际、国内和港澳台学术会议次数（3分）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ind w:left="-105" w:leftChars="-50" w:right="-105" w:rightChars="-5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学术交流活动（4分）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国际、国内合作项目（3分）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活动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影响（5分）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经批准参加国际、国内组织（5分）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社会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评价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（100分）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内部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评价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（40分）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会员评价（15分）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对服务质量的评价（15分）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理事评价（15分）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对管理状况、综合影响力的评价（15分）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工作人员评价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（10分）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对管理状况、综合影响力的评价（10分）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外部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评价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（60分）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登记管理机关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（25分）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对作用发挥、接受监督管理情况的评价（25分）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25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业务主管单位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（25分）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对作用发挥、接受监督管理情况的评价（25分）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25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</w:pP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表彰奖励情况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（</w:t>
            </w:r>
            <w:r>
              <w:rPr>
                <w:rStyle w:val="28"/>
                <w:rFonts w:hint="default" w:asciiTheme="minorEastAsia" w:hAnsiTheme="minorEastAsia" w:eastAsiaTheme="minorEastAsia" w:cstheme="minorEastAsia"/>
                <w:color w:val="auto"/>
                <w:sz w:val="21"/>
                <w:szCs w:val="21"/>
                <w:lang w:bidi="ar"/>
              </w:rPr>
              <w:t>10分</w:t>
            </w:r>
            <w:r>
              <w:rPr>
                <w:rStyle w:val="28"/>
                <w:rFonts w:hint="default" w:asciiTheme="minorEastAsia" w:hAnsiTheme="minorEastAsia" w:cstheme="minorEastAsia"/>
                <w:color w:val="auto"/>
                <w:sz w:val="21"/>
                <w:szCs w:val="21"/>
                <w:lang w:bidi="ar"/>
              </w:rPr>
              <w:t>）</w:t>
            </w:r>
          </w:p>
        </w:tc>
        <w:tc>
          <w:tcPr>
            <w:tcW w:w="43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政府部门表彰奖励（10分）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10</w:t>
            </w:r>
          </w:p>
        </w:tc>
      </w:tr>
    </w:tbl>
    <w:p>
      <w:pPr>
        <w:spacing w:line="240" w:lineRule="exact"/>
        <w:rPr>
          <w:sz w:val="18"/>
          <w:szCs w:val="18"/>
        </w:rPr>
      </w:pPr>
    </w:p>
    <w:sectPr>
      <w:footerReference r:id="rId3" w:type="default"/>
      <w:pgSz w:w="11906" w:h="16838"/>
      <w:pgMar w:top="2154" w:right="1474" w:bottom="1361" w:left="1587" w:header="0" w:footer="1417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docGrid w:type="lines" w:linePitch="32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hint="eastAsia" w:ascii="Times New Roman" w:hAnsi="Times New Roman" w:cs="Times New Roman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6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Times New Roman" w:hAnsi="Times New Roman" w:cs="Times New Roman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—</w:t>
                    </w:r>
                    <w:r>
                      <w:rPr>
                        <w:rFonts w:hint="eastAsia" w:ascii="Times New Roman" w:hAnsi="Times New Roman" w:cs="Times New Roman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6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Times New Roman" w:hAnsi="Times New Roman" w:cs="Times New Roman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hideSpellingErrors/>
  <w:documentProtection w:enforcement="0"/>
  <w:defaultTabStop w:val="420"/>
  <w:drawingGridVerticalSpacing w:val="162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VjZjNmMzk0YmQyZjI2YmQwZWEzNThhNjAxYWRmMzQifQ=="/>
  </w:docVars>
  <w:rsids>
    <w:rsidRoot w:val="36D2374F"/>
    <w:rsid w:val="001316DB"/>
    <w:rsid w:val="002E450E"/>
    <w:rsid w:val="00301B14"/>
    <w:rsid w:val="003A2E26"/>
    <w:rsid w:val="00463D27"/>
    <w:rsid w:val="004E2D04"/>
    <w:rsid w:val="005B38FE"/>
    <w:rsid w:val="00945D10"/>
    <w:rsid w:val="009B25A5"/>
    <w:rsid w:val="00AA76A9"/>
    <w:rsid w:val="00AC35BC"/>
    <w:rsid w:val="00AC6752"/>
    <w:rsid w:val="00B56A32"/>
    <w:rsid w:val="00E208FC"/>
    <w:rsid w:val="00EC5E7B"/>
    <w:rsid w:val="00F1151E"/>
    <w:rsid w:val="00F62397"/>
    <w:rsid w:val="024E3965"/>
    <w:rsid w:val="046942B2"/>
    <w:rsid w:val="07AE1845"/>
    <w:rsid w:val="0BF509B6"/>
    <w:rsid w:val="0C3105DC"/>
    <w:rsid w:val="0CE353E1"/>
    <w:rsid w:val="0E6E6FED"/>
    <w:rsid w:val="11346F05"/>
    <w:rsid w:val="13031B0C"/>
    <w:rsid w:val="13AA1EF2"/>
    <w:rsid w:val="150F5A72"/>
    <w:rsid w:val="15E5679C"/>
    <w:rsid w:val="16FA0D8D"/>
    <w:rsid w:val="18A45293"/>
    <w:rsid w:val="19A64BDB"/>
    <w:rsid w:val="1D9239C0"/>
    <w:rsid w:val="1DCB1CAE"/>
    <w:rsid w:val="206304EE"/>
    <w:rsid w:val="20A12FFE"/>
    <w:rsid w:val="22B22383"/>
    <w:rsid w:val="23CC12DF"/>
    <w:rsid w:val="25A00C98"/>
    <w:rsid w:val="271F3A93"/>
    <w:rsid w:val="27EA55A3"/>
    <w:rsid w:val="29571F9D"/>
    <w:rsid w:val="2BAA2810"/>
    <w:rsid w:val="2CD54259"/>
    <w:rsid w:val="31C47805"/>
    <w:rsid w:val="345609DB"/>
    <w:rsid w:val="35962CFA"/>
    <w:rsid w:val="35ED57F2"/>
    <w:rsid w:val="36D2374F"/>
    <w:rsid w:val="38E16544"/>
    <w:rsid w:val="3B4C7A60"/>
    <w:rsid w:val="41C451CF"/>
    <w:rsid w:val="42A70241"/>
    <w:rsid w:val="44EB4592"/>
    <w:rsid w:val="47CD3DEA"/>
    <w:rsid w:val="47F71D9E"/>
    <w:rsid w:val="4B0200D3"/>
    <w:rsid w:val="4B843323"/>
    <w:rsid w:val="4CF80530"/>
    <w:rsid w:val="51423983"/>
    <w:rsid w:val="51473F27"/>
    <w:rsid w:val="515C2A5A"/>
    <w:rsid w:val="53F61ED8"/>
    <w:rsid w:val="542177D7"/>
    <w:rsid w:val="54A76D4E"/>
    <w:rsid w:val="54E56B48"/>
    <w:rsid w:val="558C17ED"/>
    <w:rsid w:val="56F03EFF"/>
    <w:rsid w:val="57266527"/>
    <w:rsid w:val="578C666D"/>
    <w:rsid w:val="59101C64"/>
    <w:rsid w:val="5B6F18E0"/>
    <w:rsid w:val="5DC54E8B"/>
    <w:rsid w:val="5DEB557E"/>
    <w:rsid w:val="60953D54"/>
    <w:rsid w:val="60BB7706"/>
    <w:rsid w:val="6146583B"/>
    <w:rsid w:val="61C028A7"/>
    <w:rsid w:val="6218028E"/>
    <w:rsid w:val="640F213E"/>
    <w:rsid w:val="65A034E0"/>
    <w:rsid w:val="65AE6E4C"/>
    <w:rsid w:val="663771C9"/>
    <w:rsid w:val="68532D7E"/>
    <w:rsid w:val="6B424FB0"/>
    <w:rsid w:val="6BD73898"/>
    <w:rsid w:val="6C1B3E44"/>
    <w:rsid w:val="6ED5771A"/>
    <w:rsid w:val="6F521A01"/>
    <w:rsid w:val="733132DB"/>
    <w:rsid w:val="734E7B64"/>
    <w:rsid w:val="75210C96"/>
    <w:rsid w:val="7719438E"/>
    <w:rsid w:val="783648D4"/>
    <w:rsid w:val="79440130"/>
    <w:rsid w:val="7A2A2AA4"/>
    <w:rsid w:val="7CF41467"/>
    <w:rsid w:val="7E9C0189"/>
    <w:rsid w:val="7F227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6">
    <w:name w:val="font21"/>
    <w:basedOn w:val="5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161"/>
    <w:basedOn w:val="5"/>
    <w:qFormat/>
    <w:uiPriority w:val="0"/>
    <w:rPr>
      <w:rFonts w:ascii="Wingdings 2" w:hAnsi="Wingdings 2" w:eastAsia="Wingdings 2" w:cs="Wingdings 2"/>
      <w:color w:val="000000"/>
      <w:sz w:val="20"/>
      <w:szCs w:val="20"/>
      <w:u w:val="none"/>
    </w:rPr>
  </w:style>
  <w:style w:type="character" w:customStyle="1" w:styleId="8">
    <w:name w:val="font6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9">
    <w:name w:val="font22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single"/>
    </w:rPr>
  </w:style>
  <w:style w:type="character" w:customStyle="1" w:styleId="10">
    <w:name w:val="font121"/>
    <w:basedOn w:val="5"/>
    <w:qFormat/>
    <w:uiPriority w:val="0"/>
    <w:rPr>
      <w:rFonts w:hint="default" w:ascii="Times New Roman" w:hAnsi="Times New Roman" w:cs="Times New Roman"/>
      <w:b/>
      <w:color w:val="000000"/>
      <w:sz w:val="20"/>
      <w:szCs w:val="20"/>
      <w:u w:val="none"/>
    </w:rPr>
  </w:style>
  <w:style w:type="character" w:customStyle="1" w:styleId="11">
    <w:name w:val="font4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12">
    <w:name w:val="font23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single"/>
    </w:rPr>
  </w:style>
  <w:style w:type="character" w:customStyle="1" w:styleId="13">
    <w:name w:val="font11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4">
    <w:name w:val="font8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15">
    <w:name w:val="font31"/>
    <w:basedOn w:val="5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  <w:style w:type="character" w:customStyle="1" w:styleId="16">
    <w:name w:val="font11"/>
    <w:basedOn w:val="5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7">
    <w:name w:val="font51"/>
    <w:basedOn w:val="5"/>
    <w:qFormat/>
    <w:uiPriority w:val="0"/>
    <w:rPr>
      <w:rFonts w:hint="eastAsia" w:ascii="宋体" w:hAnsi="宋体" w:eastAsia="宋体" w:cs="宋体"/>
      <w:b/>
      <w:color w:val="000000"/>
      <w:sz w:val="24"/>
      <w:szCs w:val="24"/>
      <w:u w:val="none"/>
    </w:rPr>
  </w:style>
  <w:style w:type="character" w:customStyle="1" w:styleId="18">
    <w:name w:val="font0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9">
    <w:name w:val="font112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single"/>
    </w:rPr>
  </w:style>
  <w:style w:type="character" w:customStyle="1" w:styleId="20">
    <w:name w:val="font7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21">
    <w:name w:val="font9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22">
    <w:name w:val="font13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single"/>
    </w:rPr>
  </w:style>
  <w:style w:type="character" w:customStyle="1" w:styleId="23">
    <w:name w:val="font141"/>
    <w:basedOn w:val="5"/>
    <w:qFormat/>
    <w:uiPriority w:val="0"/>
    <w:rPr>
      <w:rFonts w:hint="eastAsia" w:ascii="宋体" w:hAnsi="宋体" w:eastAsia="宋体" w:cs="宋体"/>
      <w:color w:val="FF0000"/>
      <w:sz w:val="20"/>
      <w:szCs w:val="20"/>
      <w:u w:val="none"/>
    </w:rPr>
  </w:style>
  <w:style w:type="character" w:customStyle="1" w:styleId="24">
    <w:name w:val="font19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single"/>
    </w:rPr>
  </w:style>
  <w:style w:type="character" w:customStyle="1" w:styleId="25">
    <w:name w:val="font15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26">
    <w:name w:val="font171"/>
    <w:basedOn w:val="5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27">
    <w:name w:val="font181"/>
    <w:basedOn w:val="5"/>
    <w:qFormat/>
    <w:uiPriority w:val="0"/>
    <w:rPr>
      <w:rFonts w:hint="eastAsia" w:ascii="宋体" w:hAnsi="宋体" w:eastAsia="宋体" w:cs="宋体"/>
      <w:b/>
      <w:color w:val="000000"/>
      <w:sz w:val="24"/>
      <w:szCs w:val="24"/>
      <w:u w:val="none"/>
    </w:rPr>
  </w:style>
  <w:style w:type="character" w:customStyle="1" w:styleId="28">
    <w:name w:val="font10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6</Pages>
  <Words>521</Words>
  <Characters>2970</Characters>
  <Lines>24</Lines>
  <Paragraphs>6</Paragraphs>
  <TotalTime>27</TotalTime>
  <ScaleCrop>false</ScaleCrop>
  <LinksUpToDate>false</LinksUpToDate>
  <CharactersWithSpaces>3485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2021-05-16T02:36:00Z</dcterms:created>
  <dc:creator>Administrator</dc:creator>
  <cp:lastModifiedBy>伍照华</cp:lastModifiedBy>
  <cp:lastPrinted>2021-09-09T01:34:00Z</cp:lastPrinted>
  <dcterms:modified xsi:type="dcterms:W3CDTF">2024-04-18T01:04:06Z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A5A0D664FFE042CF85E254D5046E620D</vt:lpwstr>
  </property>
</Properties>
</file>