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val="0"/>
        <w:spacing w:before="240" w:beforeLines="100" w:line="600" w:lineRule="exact"/>
        <w:jc w:val="center"/>
        <w:rPr>
          <w:rFonts w:ascii="Times New Roman" w:hAnsi="Times New Roman" w:eastAsia="方正小标宋_GBK" w:cs="Times New Roman"/>
          <w:sz w:val="52"/>
          <w:szCs w:val="52"/>
        </w:rPr>
      </w:pPr>
      <w:bookmarkStart w:id="0" w:name="X8894c6960627f2837c43e986f4f50399ad0d623"/>
      <w:bookmarkStart w:id="1" w:name="Xa00b3db4568bba1e69355a406ca948ca9ec9b7e"/>
    </w:p>
    <w:p>
      <w:pPr>
        <w:widowControl w:val="0"/>
        <w:adjustRightInd w:val="0"/>
        <w:spacing w:before="240" w:beforeLines="100" w:line="60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湖南省地方标准</w:t>
      </w:r>
    </w:p>
    <w:p>
      <w:pPr>
        <w:widowControl w:val="0"/>
        <w:adjustRightInd w:val="0"/>
        <w:spacing w:before="240" w:beforeLines="100" w:line="600" w:lineRule="exact"/>
        <w:jc w:val="center"/>
      </w:pPr>
      <w:r>
        <w:rPr>
          <w:rFonts w:ascii="Times New Roman" w:hAnsi="Times New Roman" w:eastAsia="方正小标宋_GBK" w:cs="Times New Roman"/>
          <w:sz w:val="52"/>
          <w:szCs w:val="52"/>
        </w:rPr>
        <w:t>《养老机构食堂管理规范》</w:t>
      </w:r>
    </w:p>
    <w:p>
      <w:pPr>
        <w:widowControl w:val="0"/>
        <w:adjustRightInd w:val="0"/>
        <w:spacing w:before="240" w:beforeLines="100" w:line="600" w:lineRule="exact"/>
        <w:jc w:val="center"/>
        <w:rPr>
          <w:rFonts w:ascii="Times New Roman" w:hAnsi="Times New Roman" w:eastAsia="楷体_GB2312" w:cs="Times New Roman"/>
          <w:sz w:val="44"/>
          <w:szCs w:val="44"/>
        </w:rPr>
      </w:pPr>
      <w:r>
        <w:rPr>
          <w:rFonts w:ascii="Times New Roman" w:hAnsi="Times New Roman" w:eastAsia="楷体_GB2312" w:cs="Times New Roman"/>
          <w:sz w:val="44"/>
          <w:szCs w:val="44"/>
        </w:rPr>
        <w:t>（征求意见稿）</w:t>
      </w:r>
    </w:p>
    <w:p/>
    <w:p/>
    <w:p>
      <w:pPr>
        <w:widowControl w:val="0"/>
        <w:adjustRightInd w:val="0"/>
        <w:spacing w:line="600" w:lineRule="exact"/>
        <w:jc w:val="center"/>
        <w:rPr>
          <w:rFonts w:ascii="Times New Roman" w:hAnsi="Times New Roman" w:eastAsia="方正小标宋_GBK" w:cs="Times New Roman"/>
          <w:sz w:val="52"/>
          <w:szCs w:val="52"/>
        </w:rPr>
      </w:pPr>
    </w:p>
    <w:p>
      <w:pPr>
        <w:widowControl w:val="0"/>
        <w:adjustRightInd w:val="0"/>
        <w:spacing w:line="60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编</w:t>
      </w:r>
    </w:p>
    <w:p>
      <w:pPr>
        <w:widowControl w:val="0"/>
        <w:adjustRightInd w:val="0"/>
        <w:spacing w:line="600" w:lineRule="exact"/>
        <w:jc w:val="center"/>
        <w:rPr>
          <w:rFonts w:ascii="Times New Roman" w:hAnsi="Times New Roman" w:eastAsia="方正小标宋_GBK" w:cs="Times New Roman"/>
          <w:sz w:val="52"/>
          <w:szCs w:val="52"/>
        </w:rPr>
      </w:pPr>
    </w:p>
    <w:p>
      <w:pPr>
        <w:widowControl w:val="0"/>
        <w:adjustRightInd w:val="0"/>
        <w:spacing w:line="60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制</w:t>
      </w:r>
    </w:p>
    <w:p>
      <w:pPr>
        <w:widowControl w:val="0"/>
        <w:adjustRightInd w:val="0"/>
        <w:spacing w:line="600" w:lineRule="exact"/>
        <w:jc w:val="center"/>
        <w:rPr>
          <w:rFonts w:ascii="Times New Roman" w:hAnsi="Times New Roman" w:eastAsia="方正小标宋_GBK" w:cs="Times New Roman"/>
          <w:sz w:val="52"/>
          <w:szCs w:val="52"/>
        </w:rPr>
      </w:pPr>
    </w:p>
    <w:p>
      <w:pPr>
        <w:widowControl w:val="0"/>
        <w:adjustRightInd w:val="0"/>
        <w:spacing w:line="60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说</w:t>
      </w:r>
    </w:p>
    <w:p>
      <w:pPr>
        <w:widowControl w:val="0"/>
        <w:adjustRightInd w:val="0"/>
        <w:spacing w:line="600" w:lineRule="exact"/>
        <w:jc w:val="center"/>
        <w:rPr>
          <w:rFonts w:ascii="Times New Roman" w:hAnsi="Times New Roman" w:eastAsia="方正小标宋_GBK" w:cs="Times New Roman"/>
          <w:sz w:val="52"/>
          <w:szCs w:val="52"/>
        </w:rPr>
      </w:pPr>
    </w:p>
    <w:p>
      <w:pPr>
        <w:widowControl w:val="0"/>
        <w:adjustRightInd w:val="0"/>
        <w:spacing w:line="600" w:lineRule="exact"/>
        <w:jc w:val="center"/>
      </w:pPr>
      <w:r>
        <w:rPr>
          <w:rFonts w:ascii="Times New Roman" w:hAnsi="Times New Roman" w:eastAsia="方正小标宋_GBK" w:cs="Times New Roman"/>
          <w:sz w:val="52"/>
          <w:szCs w:val="52"/>
        </w:rPr>
        <w:t>明</w:t>
      </w:r>
    </w:p>
    <w:p/>
    <w:p/>
    <w:p/>
    <w:p/>
    <w:p/>
    <w:p/>
    <w:p/>
    <w:p/>
    <w:p>
      <w:pPr>
        <w:widowControl w:val="0"/>
        <w:adjustRightInd w:val="0"/>
        <w:spacing w:line="600" w:lineRule="exact"/>
        <w:jc w:val="center"/>
        <w:rPr>
          <w:rFonts w:ascii="Times New Roman" w:hAnsi="Times New Roman" w:eastAsia="楷体_GB2312" w:cs="Times New Roman"/>
          <w:sz w:val="44"/>
          <w:szCs w:val="44"/>
        </w:rPr>
      </w:pPr>
      <w:r>
        <w:rPr>
          <w:rFonts w:ascii="Times New Roman" w:hAnsi="Times New Roman" w:eastAsia="楷体_GB2312" w:cs="Times New Roman"/>
          <w:sz w:val="44"/>
          <w:szCs w:val="44"/>
        </w:rPr>
        <w:t>标准起草组</w:t>
      </w:r>
    </w:p>
    <w:p>
      <w:pPr>
        <w:spacing w:before="240" w:after="240" w:line="560" w:lineRule="exact"/>
        <w:jc w:val="center"/>
      </w:pPr>
      <w:r>
        <w:rPr>
          <w:rFonts w:ascii="Times New Roman" w:hAnsi="Times New Roman" w:eastAsia="楷体_GB2312" w:cs="Times New Roman"/>
          <w:sz w:val="44"/>
          <w:szCs w:val="44"/>
        </w:rPr>
        <w:t>2026年</w:t>
      </w:r>
      <w:r>
        <w:rPr>
          <w:rFonts w:hint="eastAsia" w:ascii="Times New Roman" w:hAnsi="Times New Roman" w:eastAsia="楷体_GB2312" w:cs="Times New Roman"/>
          <w:sz w:val="44"/>
          <w:szCs w:val="44"/>
          <w:lang w:val="en-US" w:eastAsia="zh-CN"/>
        </w:rPr>
        <w:t>9</w:t>
      </w:r>
      <w:r>
        <w:rPr>
          <w:rFonts w:ascii="Times New Roman" w:hAnsi="Times New Roman" w:eastAsia="楷体_GB2312" w:cs="Times New Roman"/>
          <w:sz w:val="44"/>
          <w:szCs w:val="44"/>
        </w:rPr>
        <w:t>月</w:t>
      </w:r>
    </w:p>
    <w:p>
      <w:pPr>
        <w:widowControl w:val="0"/>
        <w:adjustRightInd w:val="0"/>
        <w:spacing w:line="600" w:lineRule="exact"/>
        <w:ind w:firstLine="640" w:firstLineChars="200"/>
        <w:rPr>
          <w:rFonts w:ascii="Times New Roman" w:hAnsi="Times New Roman" w:eastAsia="黑体" w:cs="Times New Roman"/>
          <w:sz w:val="32"/>
          <w:szCs w:val="32"/>
        </w:rPr>
        <w:sectPr>
          <w:headerReference r:id="rId3" w:type="default"/>
          <w:footerReference r:id="rId4" w:type="default"/>
          <w:footnotePr>
            <w:numRestart w:val="eachSect"/>
          </w:footnotePr>
          <w:pgSz w:w="12240" w:h="15840"/>
          <w:pgMar w:top="1440" w:right="1800" w:bottom="1440" w:left="1800" w:header="720" w:footer="720" w:gutter="0"/>
          <w:cols w:space="720" w:num="1"/>
        </w:sectPr>
      </w:pPr>
    </w:p>
    <w:p>
      <w:pPr>
        <w:widowControl w:val="0"/>
        <w:adjustRightInd w:val="0"/>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一、工作简况</w:t>
      </w:r>
    </w:p>
    <w:p>
      <w:pPr>
        <w:widowControl w:val="0"/>
        <w:adjustRightInd w:val="0"/>
        <w:spacing w:line="600" w:lineRule="exact"/>
        <w:ind w:firstLine="640" w:firstLineChars="200"/>
        <w:jc w:val="both"/>
        <w:rPr>
          <w:rFonts w:ascii="Times New Roman" w:hAnsi="Times New Roman" w:eastAsia="方正楷体_GBK" w:cs="Times New Roman"/>
          <w:color w:val="000000"/>
          <w:kern w:val="2"/>
          <w:sz w:val="32"/>
          <w:szCs w:val="32"/>
          <w:shd w:val="clear" w:color="auto" w:fill="FFFFFF"/>
        </w:rPr>
      </w:pPr>
      <w:r>
        <w:rPr>
          <w:rFonts w:ascii="Times New Roman" w:hAnsi="Times New Roman" w:eastAsia="方正楷体_GBK" w:cs="Times New Roman"/>
          <w:color w:val="000000"/>
          <w:kern w:val="2"/>
          <w:sz w:val="32"/>
          <w:szCs w:val="32"/>
          <w:shd w:val="clear" w:color="auto" w:fill="FFFFFF"/>
        </w:rPr>
        <w:t>（一）任务来源</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根据湖南省市场监督管理局2025年2月1日印发的《湖南省市场监督管理局关于下达2025年度第1批地方标准制定项目计划的通知》，本标准正式列入湖南省地方标准制定计划。</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本标准由湖南省民政厅提出，由湖南省养老标准化技术委员会归口。</w:t>
      </w:r>
    </w:p>
    <w:p>
      <w:pPr>
        <w:widowControl w:val="0"/>
        <w:adjustRightInd w:val="0"/>
        <w:spacing w:line="600" w:lineRule="exact"/>
        <w:ind w:firstLine="640" w:firstLineChars="200"/>
        <w:jc w:val="both"/>
        <w:rPr>
          <w:rFonts w:ascii="Times New Roman" w:hAnsi="Times New Roman" w:eastAsia="方正楷体_GBK" w:cs="Times New Roman"/>
          <w:color w:val="000000"/>
          <w:kern w:val="2"/>
          <w:sz w:val="32"/>
          <w:szCs w:val="32"/>
          <w:shd w:val="clear" w:color="auto" w:fill="FFFFFF"/>
        </w:rPr>
      </w:pPr>
      <w:r>
        <w:rPr>
          <w:rFonts w:ascii="Times New Roman" w:hAnsi="Times New Roman" w:eastAsia="方正楷体_GBK" w:cs="Times New Roman"/>
          <w:color w:val="000000"/>
          <w:kern w:val="2"/>
          <w:sz w:val="32"/>
          <w:szCs w:val="32"/>
          <w:shd w:val="clear" w:color="auto" w:fill="FFFFFF"/>
        </w:rPr>
        <w:t>（二）制定背景</w:t>
      </w:r>
    </w:p>
    <w:p>
      <w:pPr>
        <w:widowControl w:val="0"/>
        <w:adjustRightInd w:val="0"/>
        <w:spacing w:line="600" w:lineRule="exact"/>
        <w:ind w:firstLine="640" w:firstLineChars="200"/>
        <w:jc w:val="both"/>
        <w:rPr>
          <w:rFonts w:ascii="方正仿宋_GBK" w:hAnsi="Times New Roman" w:eastAsia="方正仿宋_GBK" w:cs="Times New Roman"/>
          <w:color w:val="000000"/>
          <w:kern w:val="2"/>
          <w:sz w:val="32"/>
          <w:szCs w:val="32"/>
          <w:shd w:val="clear" w:color="auto" w:fill="FFFFFF"/>
        </w:rPr>
      </w:pPr>
      <w:r>
        <w:rPr>
          <w:rFonts w:hint="eastAsia" w:ascii="方正仿宋_GBK" w:hAnsi="Times New Roman" w:eastAsia="方正仿宋_GBK" w:cs="Times New Roman"/>
          <w:color w:val="000000"/>
          <w:kern w:val="2"/>
          <w:sz w:val="32"/>
          <w:szCs w:val="32"/>
          <w:shd w:val="clear" w:color="auto" w:fill="FFFFFF"/>
        </w:rPr>
        <w:t>1</w:t>
      </w:r>
      <w:r>
        <w:rPr>
          <w:rFonts w:ascii="方正仿宋_GBK" w:hAnsi="Times New Roman" w:eastAsia="方正仿宋_GBK" w:cs="Times New Roman"/>
          <w:color w:val="000000"/>
          <w:kern w:val="2"/>
          <w:sz w:val="32"/>
          <w:szCs w:val="32"/>
          <w:shd w:val="clear" w:color="auto" w:fill="FFFFFF"/>
        </w:rPr>
        <w:t>.必要性</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（1）满足人口老龄化与养老服务发展需求</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当前，湖南省人口老龄化程度持续加深，养老机构数量不断增加，入住老年人对食堂服务的食品安全、营养膳食、适老化环境等方面要求日益提高。老年人作为特殊群体，消化吸收功能减弱，免疫力下降，对食品安全风险更为敏感，一旦发生食源性疾病或噎食等事件，极易引发严重后果。养老机构食堂若管理不规范，将直接威胁老年人身体健康和生命安全。</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本标准通过规范养老机构食堂管理全流程，从源头防范食品安全风险，提升膳食服务质量，为积极应对人口老龄化、推动湖南省养老服务业高质量发展提供技术支撑。</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（2）贯彻落实国家及地方法律法规政策</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《中华人民共和国食品安全法》《中华人民共和国老年人权益保障法》《养老机构管理办法》等法律法规，以及《中共中央 国务院关于深化养老服务改革发展的意见》《国务院办公厅关于建立健全养老服务综合监管制度促进养老服务高质量发展的意见》《国务院办公厅关于发展银发经济增进老年人福祉的意见》等政策文件，均对加强养老机构食品安全管理、提升养老服务质量作出明确规定。湖南省相关养老服务政策也明确提出要加强养老机构食堂规范化管理。本标准为落实上述法律法规和政策文件提供了具体、可操作的技术规范，是落实“管行业必须管安全”要求的重要体现。</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（3）规范行业管理、填补标准空白</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目前，国家和行业层面已发布GB 31654《食品安全国家标准 餐饮服务通用卫生规范》、MZ/T 186《养老机构膳食服务基本规范》等标准，但针对养老机构食堂管理的地方标准在湖南省尚属空白。现有标准对养老机构食堂的适老化环境建设、个性化膳食服务、服务流程细化等方面缺乏针对性要求。本标准立足湖南省养老机构实际，融合食品安全与养老服务双重属性，填补地方标准空白，与国家标准、行业标准形成互补，共同构成养老机构食堂安全与服务质量的标准体系。正是由于上述标准针对性的缺失，导致实践中养老机构食堂服务在食品安全之外，难以兼顾营养健康、适老化服务等多维需求，亟需通过本标准予以系统规范。</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（4）提升养老机构食堂服务质量</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部分养老机构存在食堂功能布局不合理、适老化设施缺失、从业人员管理不规范、膳食营养搭配不科学、投诉处理机制不健全等问题。本标准从机构和人员管理、场所管理、设备与用品管理、采购与储存、膳食过程、安全应急、服务质量等方面作出系统规定，推动养老机构食堂管理从“经验型”向“规范型”转变，持续提升老年人就餐安全感与满意度。</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2. </w:t>
      </w:r>
      <w:r>
        <w:rPr>
          <w:rFonts w:hint="eastAsia" w:ascii="Times New Roman" w:hAnsi="Times New Roman" w:eastAsia="方正仿宋_GBK" w:cs="Times New Roman"/>
          <w:color w:val="000000"/>
          <w:sz w:val="32"/>
          <w:szCs w:val="32"/>
        </w:rPr>
        <w:t>可行性</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（1）坚实的产业基础和丰富的实践经验</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湖南省养老机构经过多年发展，公办、民办、公建民营等多元运营模式逐步成熟，在食堂建设、供餐服务、食品安全管理等方面积累了大量实践经验。近年来，湖南省持续开展养老机构食品安全专项整治行动，通过民政、市场监管、卫生健康等多部门联合检查、隐患清单化整治等方式，在食堂规范管理方面积累了丰富的实践素材，为本标准制定提供了坚实的产业基础和可靠的实践支撑。</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（2）成熟的技术支撑和明确的政策指导</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在食品安全、建筑无障碍、室内环境、老年人膳食指导等领域，我国已建立起较为完善的国家标准体系。GB 31654、GB 50763、GB/T 18883、WS/T 556等标准技术成熟可靠，为本标准提供了充分的技术依据。本标准衔接现有标准中的相关要求，将其具体应用于养老机构食堂场景，技术路径清晰明确，具有较强的可操作性。从经济性来看，标准的实施虽可能在短期内增加部分养老机构在适老化改造、设备配置等方面的投入，但从长远来看，能够有效避免食品安全事故造成的巨大损失，降低运营风险，具有显著的经济效益和社会效益。</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（3）广泛的社会共识和良好的实施条件</w:t>
      </w:r>
    </w:p>
    <w:p>
      <w:pPr>
        <w:widowControl w:val="0"/>
        <w:adjustRightInd w:val="0"/>
        <w:spacing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养老机构食堂管理涉及民政、市场监管、卫生健康等多部</w:t>
      </w:r>
    </w:p>
    <w:p>
      <w:pPr>
        <w:widowControl w:val="0"/>
        <w:adjustRightInd w:val="0"/>
        <w:spacing w:line="600" w:lineRule="exact"/>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门监管，各部门在联合检查中形成了较为一致的管理要求。同时，老年人及其家属对食堂食品安全和服务质量关注度极高，社会各方对规范养老机构食堂管理具有广泛共识，为本标准实施奠定了良好的社会基础。</w:t>
      </w:r>
    </w:p>
    <w:p>
      <w:pPr>
        <w:widowControl w:val="0"/>
        <w:adjustRightInd w:val="0"/>
        <w:spacing w:line="600" w:lineRule="exact"/>
        <w:ind w:firstLine="640" w:firstLineChars="200"/>
        <w:rPr>
          <w:rFonts w:ascii="Times New Roman" w:hAnsi="Times New Roman" w:eastAsia="方正楷体_GBK" w:cs="Times New Roman"/>
          <w:color w:val="000000"/>
          <w:kern w:val="2"/>
          <w:sz w:val="32"/>
          <w:szCs w:val="32"/>
          <w:shd w:val="clear" w:color="auto" w:fill="FFFFFF"/>
        </w:rPr>
      </w:pPr>
      <w:r>
        <w:rPr>
          <w:rFonts w:ascii="Times New Roman" w:hAnsi="Times New Roman" w:eastAsia="方正楷体_GBK" w:cs="Times New Roman"/>
          <w:color w:val="000000"/>
          <w:kern w:val="2"/>
          <w:sz w:val="32"/>
          <w:szCs w:val="32"/>
          <w:shd w:val="clear" w:color="auto" w:fill="FFFFFF"/>
        </w:rPr>
        <w:t>（三）起草过程</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1. </w:t>
      </w:r>
      <w:r>
        <w:rPr>
          <w:rFonts w:hint="eastAsia" w:ascii="Times New Roman" w:hAnsi="Times New Roman" w:eastAsia="方正仿宋_GBK" w:cs="Times New Roman"/>
          <w:b/>
          <w:bCs/>
          <w:sz w:val="32"/>
          <w:szCs w:val="32"/>
        </w:rPr>
        <w:t>标准预研</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成立由湘潭市标准化协会</w:t>
      </w:r>
      <w:r>
        <w:rPr>
          <w:rFonts w:hint="eastAsia" w:ascii="Times New Roman" w:hAnsi="Times New Roman" w:eastAsia="方正仿宋_GBK" w:cs="Times New Roman"/>
          <w:color w:val="000000"/>
          <w:kern w:val="2"/>
          <w:sz w:val="32"/>
          <w:szCs w:val="32"/>
          <w:shd w:val="clear" w:color="auto" w:fill="FFFFFF"/>
          <w:lang w:val="en-US" w:eastAsia="zh-CN" w:bidi="ar"/>
        </w:rPr>
        <w:t>牵头的</w:t>
      </w:r>
      <w:r>
        <w:rPr>
          <w:rFonts w:ascii="Times New Roman" w:hAnsi="Times New Roman" w:eastAsia="方正仿宋_GBK" w:cs="Times New Roman"/>
          <w:color w:val="000000"/>
          <w:kern w:val="2"/>
          <w:sz w:val="32"/>
          <w:szCs w:val="32"/>
          <w:shd w:val="clear" w:color="auto" w:fill="FFFFFF"/>
          <w:lang w:bidi="ar"/>
        </w:rPr>
        <w:t>标准起草组，明确标准编制各时间节点任务情况。综合运用查阅文献、书面调研、实地调研、座谈交流等方式，研究讨论标准框架结构、主要技术指标，经多轮研讨后，起草形成标准草案及立项申报材料。</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2. </w:t>
      </w:r>
      <w:r>
        <w:rPr>
          <w:rFonts w:hint="eastAsia" w:ascii="Times New Roman" w:hAnsi="Times New Roman" w:eastAsia="方正仿宋_GBK" w:cs="Times New Roman"/>
          <w:b/>
          <w:bCs/>
          <w:sz w:val="32"/>
          <w:szCs w:val="32"/>
        </w:rPr>
        <w:t>立项起草</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2025年2月1日，起草组参加标准立项审查会，听取评审专家对标准草案等申报材料的意见和建议。</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2025年2月2日至5月15日，起草组根据专家意见和建议对标准草案进行修改，全面部署行业实地调研任务。</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2025年6月15日，起草组召开标准草案讨论会，邀请内部成员及行业外部专家开展深度研讨，结合调研数据审议标准框架与核心内容，重点研讨养老机构食堂服务模式、运营管理与食品安全管控的关联要点。</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2025年6月16日，起草组召开工作组第二次全体会议，结合专家意见修改完善文本，最终形成标准征求意见稿</w:t>
      </w:r>
      <w:r>
        <w:rPr>
          <w:rFonts w:hint="eastAsia" w:ascii="Times New Roman" w:hAnsi="Times New Roman" w:eastAsia="方正仿宋_GBK" w:cs="Times New Roman"/>
          <w:color w:val="000000"/>
          <w:kern w:val="2"/>
          <w:sz w:val="32"/>
          <w:szCs w:val="32"/>
          <w:shd w:val="clear" w:color="auto" w:fill="FFFFFF"/>
          <w:lang w:bidi="ar"/>
        </w:rPr>
        <w:t>（第一版）</w:t>
      </w:r>
      <w:r>
        <w:rPr>
          <w:rFonts w:ascii="Times New Roman" w:hAnsi="Times New Roman" w:eastAsia="方正仿宋_GBK" w:cs="Times New Roman"/>
          <w:color w:val="000000"/>
          <w:kern w:val="2"/>
          <w:sz w:val="32"/>
          <w:szCs w:val="32"/>
          <w:shd w:val="clear" w:color="auto" w:fill="FFFFFF"/>
          <w:lang w:bidi="ar"/>
        </w:rPr>
        <w:t>。</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2025年7月7日至8月11日，起草组在部分市范围内征求标准修改意见。同期，标准在湖南省市场监督管理局官网、湘潭市标准化协会、养老服务协会官方网站及微信公众号公示，征求社会公众意见。广泛征求民政、市场监管、卫生健康、消防救援等有关部门的意见，充分吸纳各行业主管部门的专业意见与监管要求，确保标准内容贴合行业实际、符合监管标准、具备实操性。</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2025年9月1日至2026年</w:t>
      </w:r>
      <w:r>
        <w:rPr>
          <w:rFonts w:hint="eastAsia" w:ascii="Times New Roman" w:hAnsi="Times New Roman" w:eastAsia="方正仿宋_GBK" w:cs="Times New Roman"/>
          <w:color w:val="000000"/>
          <w:kern w:val="2"/>
          <w:sz w:val="32"/>
          <w:szCs w:val="32"/>
          <w:shd w:val="clear" w:color="auto" w:fill="FFFFFF"/>
          <w:lang w:bidi="ar"/>
        </w:rPr>
        <w:t>3</w:t>
      </w:r>
      <w:r>
        <w:rPr>
          <w:rFonts w:ascii="Times New Roman" w:hAnsi="Times New Roman" w:eastAsia="方正仿宋_GBK" w:cs="Times New Roman"/>
          <w:color w:val="000000"/>
          <w:kern w:val="2"/>
          <w:sz w:val="32"/>
          <w:szCs w:val="32"/>
          <w:shd w:val="clear" w:color="auto" w:fill="FFFFFF"/>
          <w:lang w:bidi="ar"/>
        </w:rPr>
        <w:t>月1日，起草组汇总各方意见并逐项研究、整改完善，同步修订</w:t>
      </w:r>
      <w:r>
        <w:rPr>
          <w:rFonts w:hint="eastAsia" w:ascii="Times New Roman" w:hAnsi="Times New Roman" w:eastAsia="方正仿宋_GBK" w:cs="Times New Roman"/>
          <w:color w:val="000000"/>
          <w:kern w:val="2"/>
          <w:sz w:val="32"/>
          <w:szCs w:val="32"/>
          <w:shd w:val="clear" w:color="auto" w:fill="FFFFFF"/>
          <w:lang w:bidi="ar"/>
        </w:rPr>
        <w:t>调整标准内容</w:t>
      </w:r>
      <w:r>
        <w:rPr>
          <w:rFonts w:ascii="Times New Roman" w:hAnsi="Times New Roman" w:eastAsia="方正仿宋_GBK" w:cs="Times New Roman"/>
          <w:color w:val="000000"/>
          <w:kern w:val="2"/>
          <w:sz w:val="32"/>
          <w:szCs w:val="32"/>
          <w:shd w:val="clear" w:color="auto" w:fill="FFFFFF"/>
          <w:lang w:bidi="ar"/>
        </w:rPr>
        <w:t>，形成标准</w:t>
      </w:r>
      <w:r>
        <w:rPr>
          <w:rFonts w:hint="eastAsia" w:ascii="Times New Roman" w:hAnsi="Times New Roman" w:eastAsia="方正仿宋_GBK" w:cs="Times New Roman"/>
          <w:color w:val="000000"/>
          <w:kern w:val="2"/>
          <w:sz w:val="32"/>
          <w:szCs w:val="32"/>
          <w:shd w:val="clear" w:color="auto" w:fill="FFFFFF"/>
          <w:lang w:bidi="ar"/>
        </w:rPr>
        <w:t>征求意见</w:t>
      </w:r>
      <w:r>
        <w:rPr>
          <w:rFonts w:ascii="Times New Roman" w:hAnsi="Times New Roman" w:eastAsia="方正仿宋_GBK" w:cs="Times New Roman"/>
          <w:color w:val="000000"/>
          <w:kern w:val="2"/>
          <w:sz w:val="32"/>
          <w:szCs w:val="32"/>
          <w:shd w:val="clear" w:color="auto" w:fill="FFFFFF"/>
          <w:lang w:bidi="ar"/>
        </w:rPr>
        <w:t>稿</w:t>
      </w:r>
      <w:r>
        <w:rPr>
          <w:rFonts w:hint="eastAsia" w:ascii="Times New Roman" w:hAnsi="Times New Roman" w:eastAsia="方正仿宋_GBK" w:cs="Times New Roman"/>
          <w:color w:val="000000"/>
          <w:kern w:val="2"/>
          <w:sz w:val="32"/>
          <w:szCs w:val="32"/>
          <w:shd w:val="clear" w:color="auto" w:fill="FFFFFF"/>
          <w:lang w:bidi="ar"/>
        </w:rPr>
        <w:t>（第二版）</w:t>
      </w:r>
      <w:r>
        <w:rPr>
          <w:rFonts w:ascii="Times New Roman" w:hAnsi="Times New Roman" w:eastAsia="方正仿宋_GBK" w:cs="Times New Roman"/>
          <w:color w:val="000000"/>
          <w:kern w:val="2"/>
          <w:sz w:val="32"/>
          <w:szCs w:val="32"/>
          <w:shd w:val="clear" w:color="auto" w:fill="FFFFFF"/>
          <w:lang w:bidi="ar"/>
        </w:rPr>
        <w:t>。</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2026年</w:t>
      </w:r>
      <w:r>
        <w:rPr>
          <w:rFonts w:hint="eastAsia" w:ascii="Times New Roman" w:hAnsi="Times New Roman" w:eastAsia="方正仿宋_GBK" w:cs="Times New Roman"/>
          <w:color w:val="000000"/>
          <w:kern w:val="2"/>
          <w:sz w:val="32"/>
          <w:szCs w:val="32"/>
          <w:shd w:val="clear" w:color="auto" w:fill="FFFFFF"/>
          <w:lang w:bidi="ar"/>
        </w:rPr>
        <w:t>3</w:t>
      </w:r>
      <w:r>
        <w:rPr>
          <w:rFonts w:ascii="Times New Roman" w:hAnsi="Times New Roman" w:eastAsia="方正仿宋_GBK" w:cs="Times New Roman"/>
          <w:color w:val="000000"/>
          <w:kern w:val="2"/>
          <w:sz w:val="32"/>
          <w:szCs w:val="32"/>
          <w:shd w:val="clear" w:color="auto" w:fill="FFFFFF"/>
          <w:lang w:bidi="ar"/>
        </w:rPr>
        <w:t>月16日至6月17日，起草组邀请内部成员及行业外部专家开展深度研讨，召开专家论证研讨会，审议标准框架与核心内容，结合专家意见修改完善文本，形成标准</w:t>
      </w:r>
      <w:r>
        <w:rPr>
          <w:rFonts w:hint="eastAsia" w:ascii="Times New Roman" w:hAnsi="Times New Roman" w:eastAsia="方正仿宋_GBK" w:cs="Times New Roman"/>
          <w:color w:val="000000"/>
          <w:kern w:val="2"/>
          <w:sz w:val="32"/>
          <w:szCs w:val="32"/>
          <w:shd w:val="clear" w:color="auto" w:fill="FFFFFF"/>
          <w:lang w:bidi="ar"/>
        </w:rPr>
        <w:t>征求意见</w:t>
      </w:r>
      <w:r>
        <w:rPr>
          <w:rFonts w:ascii="Times New Roman" w:hAnsi="Times New Roman" w:eastAsia="方正仿宋_GBK" w:cs="Times New Roman"/>
          <w:color w:val="000000"/>
          <w:kern w:val="2"/>
          <w:sz w:val="32"/>
          <w:szCs w:val="32"/>
          <w:shd w:val="clear" w:color="auto" w:fill="FFFFFF"/>
          <w:lang w:bidi="ar"/>
        </w:rPr>
        <w:t>稿</w:t>
      </w:r>
      <w:r>
        <w:rPr>
          <w:rFonts w:hint="eastAsia" w:ascii="Times New Roman" w:hAnsi="Times New Roman" w:eastAsia="方正仿宋_GBK" w:cs="Times New Roman"/>
          <w:color w:val="000000"/>
          <w:kern w:val="2"/>
          <w:sz w:val="32"/>
          <w:szCs w:val="32"/>
          <w:shd w:val="clear" w:color="auto" w:fill="FFFFFF"/>
          <w:lang w:bidi="ar"/>
        </w:rPr>
        <w:t>（第三版）</w:t>
      </w:r>
      <w:r>
        <w:rPr>
          <w:rFonts w:ascii="Times New Roman" w:hAnsi="Times New Roman" w:eastAsia="方正仿宋_GBK" w:cs="Times New Roman"/>
          <w:color w:val="000000"/>
          <w:kern w:val="2"/>
          <w:sz w:val="32"/>
          <w:szCs w:val="32"/>
          <w:shd w:val="clear" w:color="auto" w:fill="FFFFFF"/>
          <w:lang w:bidi="ar"/>
        </w:rPr>
        <w:t>。</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3. </w:t>
      </w:r>
      <w:r>
        <w:rPr>
          <w:rFonts w:hint="eastAsia" w:ascii="Times New Roman" w:hAnsi="Times New Roman" w:eastAsia="方正仿宋_GBK" w:cs="Times New Roman"/>
          <w:b/>
          <w:bCs/>
          <w:sz w:val="32"/>
          <w:szCs w:val="32"/>
        </w:rPr>
        <w:t>公开征求意见</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2026年</w:t>
      </w:r>
      <w:r>
        <w:rPr>
          <w:rFonts w:hint="eastAsia" w:ascii="Times New Roman" w:hAnsi="Times New Roman" w:eastAsia="方正仿宋_GBK" w:cs="Times New Roman"/>
          <w:color w:val="000000"/>
          <w:kern w:val="2"/>
          <w:sz w:val="32"/>
          <w:szCs w:val="32"/>
          <w:shd w:val="clear" w:color="auto" w:fill="FFFFFF"/>
          <w:lang w:val="en-US" w:eastAsia="zh-CN" w:bidi="ar"/>
        </w:rPr>
        <w:t>9</w:t>
      </w:r>
      <w:bookmarkStart w:id="11" w:name="_GoBack"/>
      <w:bookmarkEnd w:id="11"/>
      <w:r>
        <w:rPr>
          <w:rFonts w:ascii="Times New Roman" w:hAnsi="Times New Roman" w:eastAsia="方正仿宋_GBK" w:cs="Times New Roman"/>
          <w:color w:val="000000"/>
          <w:kern w:val="2"/>
          <w:sz w:val="32"/>
          <w:szCs w:val="32"/>
          <w:shd w:val="clear" w:color="auto" w:fill="FFFFFF"/>
          <w:lang w:bidi="ar"/>
        </w:rPr>
        <w:t>月，经湖南省养老标准化技术委员会、湖南省民政厅审核同意后，</w:t>
      </w:r>
      <w:r>
        <w:rPr>
          <w:rFonts w:hint="eastAsia" w:ascii="Times New Roman" w:hAnsi="Times New Roman" w:eastAsia="方正仿宋_GBK" w:cs="Times New Roman"/>
          <w:color w:val="000000"/>
          <w:kern w:val="2"/>
          <w:sz w:val="32"/>
          <w:szCs w:val="32"/>
          <w:shd w:val="clear" w:color="auto" w:fill="FFFFFF"/>
          <w:lang w:bidi="ar"/>
        </w:rPr>
        <w:t>本</w:t>
      </w:r>
      <w:r>
        <w:rPr>
          <w:rFonts w:ascii="Times New Roman" w:hAnsi="Times New Roman" w:eastAsia="方正仿宋_GBK" w:cs="Times New Roman"/>
          <w:color w:val="000000"/>
          <w:kern w:val="2"/>
          <w:sz w:val="32"/>
          <w:szCs w:val="32"/>
          <w:shd w:val="clear" w:color="auto" w:fill="FFFFFF"/>
          <w:lang w:bidi="ar"/>
        </w:rPr>
        <w:t>标准</w:t>
      </w:r>
      <w:r>
        <w:rPr>
          <w:rFonts w:hint="eastAsia" w:ascii="Times New Roman" w:hAnsi="Times New Roman" w:eastAsia="方正仿宋_GBK" w:cs="Times New Roman"/>
          <w:color w:val="000000"/>
          <w:kern w:val="2"/>
          <w:sz w:val="32"/>
          <w:szCs w:val="32"/>
          <w:shd w:val="clear" w:color="auto" w:fill="FFFFFF"/>
          <w:lang w:bidi="ar"/>
        </w:rPr>
        <w:t>将</w:t>
      </w:r>
      <w:r>
        <w:rPr>
          <w:rFonts w:ascii="Times New Roman" w:hAnsi="Times New Roman" w:eastAsia="方正仿宋_GBK" w:cs="Times New Roman"/>
          <w:color w:val="000000"/>
          <w:kern w:val="2"/>
          <w:sz w:val="32"/>
          <w:szCs w:val="32"/>
          <w:shd w:val="clear" w:color="auto" w:fill="FFFFFF"/>
          <w:lang w:bidi="ar"/>
        </w:rPr>
        <w:t>在湖南省市场监督管理局</w:t>
      </w:r>
      <w:r>
        <w:rPr>
          <w:rFonts w:hint="eastAsia" w:ascii="Times New Roman" w:hAnsi="Times New Roman" w:eastAsia="方正仿宋_GBK" w:cs="Times New Roman"/>
          <w:color w:val="000000"/>
          <w:kern w:val="2"/>
          <w:sz w:val="32"/>
          <w:szCs w:val="32"/>
          <w:shd w:val="clear" w:color="auto" w:fill="FFFFFF"/>
          <w:lang w:bidi="ar"/>
        </w:rPr>
        <w:t>、湖南省民政厅</w:t>
      </w:r>
      <w:r>
        <w:rPr>
          <w:rFonts w:ascii="Times New Roman" w:hAnsi="Times New Roman" w:eastAsia="方正仿宋_GBK" w:cs="Times New Roman"/>
          <w:color w:val="000000"/>
          <w:kern w:val="2"/>
          <w:sz w:val="32"/>
          <w:szCs w:val="32"/>
          <w:shd w:val="clear" w:color="auto" w:fill="FFFFFF"/>
          <w:lang w:bidi="ar"/>
        </w:rPr>
        <w:t>网站公开征求意见。面向全省社会各界、养老机构、监管部门公开征求意见，同步配套</w:t>
      </w:r>
      <w:r>
        <w:rPr>
          <w:rFonts w:hint="eastAsia" w:ascii="Times New Roman" w:hAnsi="Times New Roman" w:eastAsia="方正仿宋_GBK" w:cs="Times New Roman"/>
          <w:color w:val="000000"/>
          <w:kern w:val="2"/>
          <w:sz w:val="32"/>
          <w:szCs w:val="32"/>
          <w:shd w:val="clear" w:color="auto" w:fill="FFFFFF"/>
          <w:lang w:bidi="ar"/>
        </w:rPr>
        <w:t>编制</w:t>
      </w:r>
      <w:r>
        <w:rPr>
          <w:rFonts w:ascii="Times New Roman" w:hAnsi="Times New Roman" w:eastAsia="方正仿宋_GBK" w:cs="Times New Roman"/>
          <w:color w:val="000000"/>
          <w:kern w:val="2"/>
          <w:sz w:val="32"/>
          <w:szCs w:val="32"/>
          <w:shd w:val="clear" w:color="auto" w:fill="FFFFFF"/>
          <w:lang w:bidi="ar"/>
        </w:rPr>
        <w:t>说明等文件，便于各方精准反馈修改建议。</w:t>
      </w:r>
    </w:p>
    <w:bookmarkEnd w:id="0"/>
    <w:p>
      <w:pPr>
        <w:widowControl w:val="0"/>
        <w:adjustRightInd w:val="0"/>
        <w:spacing w:line="600" w:lineRule="exact"/>
        <w:ind w:firstLine="640" w:firstLineChars="200"/>
        <w:rPr>
          <w:rFonts w:ascii="Times New Roman" w:hAnsi="Times New Roman" w:eastAsia="黑体" w:cs="Times New Roman"/>
          <w:sz w:val="32"/>
          <w:szCs w:val="32"/>
        </w:rPr>
      </w:pPr>
      <w:bookmarkStart w:id="2" w:name="Xb7116de030ddfabdc3a4c759d9a7ec3c95a87de"/>
      <w:r>
        <w:rPr>
          <w:rFonts w:ascii="Times New Roman" w:hAnsi="Times New Roman" w:eastAsia="黑体" w:cs="Times New Roman"/>
          <w:sz w:val="32"/>
          <w:szCs w:val="32"/>
        </w:rPr>
        <w:t>二、编制原则、主要技术要求的依据及理由</w:t>
      </w:r>
    </w:p>
    <w:p>
      <w:pPr>
        <w:widowControl w:val="0"/>
        <w:adjustRightInd w:val="0"/>
        <w:spacing w:line="600" w:lineRule="exact"/>
        <w:ind w:firstLine="640" w:firstLineChars="200"/>
        <w:rPr>
          <w:rFonts w:ascii="Times New Roman" w:hAnsi="Times New Roman" w:eastAsia="方正楷体_GBK" w:cs="Times New Roman"/>
          <w:color w:val="000000"/>
          <w:kern w:val="2"/>
          <w:sz w:val="32"/>
          <w:szCs w:val="32"/>
          <w:shd w:val="clear" w:color="auto" w:fill="FFFFFF"/>
        </w:rPr>
      </w:pPr>
      <w:r>
        <w:rPr>
          <w:rFonts w:ascii="Times New Roman" w:hAnsi="Times New Roman" w:eastAsia="方正楷体_GBK" w:cs="Times New Roman"/>
          <w:color w:val="000000"/>
          <w:kern w:val="2"/>
          <w:sz w:val="32"/>
          <w:szCs w:val="32"/>
          <w:shd w:val="clear" w:color="auto" w:fill="FFFFFF"/>
        </w:rPr>
        <w:t>（一）编制原则</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1. </w:t>
      </w:r>
      <w:r>
        <w:rPr>
          <w:rFonts w:hint="eastAsia" w:ascii="Times New Roman" w:hAnsi="Times New Roman" w:eastAsia="方正仿宋_GBK" w:cs="Times New Roman"/>
          <w:b/>
          <w:bCs/>
          <w:sz w:val="32"/>
          <w:szCs w:val="32"/>
        </w:rPr>
        <w:t>需求导向、问题导向</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聚焦老年人特殊群体对食堂服务的安全、营养、适老化需求，针对湖南省养老机构食堂管理中的薄弱环节和突出问题，明确管理要求和技术指标，确保标准解决实际管理难题。</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2. </w:t>
      </w:r>
      <w:r>
        <w:rPr>
          <w:rFonts w:hint="eastAsia" w:ascii="Times New Roman" w:hAnsi="Times New Roman" w:eastAsia="方正仿宋_GBK" w:cs="Times New Roman"/>
          <w:b/>
          <w:bCs/>
          <w:sz w:val="32"/>
          <w:szCs w:val="32"/>
        </w:rPr>
        <w:t>依法依规、衔接协调</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严格依据现行食品安全、养老服务、建筑无障碍等领域法律法规和标准，确保每一项技术要求都有明确的政策、技术标准或实践支撑。制定过程遵循标准化工作程序，与国家标准、行业标准协调一致，避免交叉重复。</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3. </w:t>
      </w:r>
      <w:r>
        <w:rPr>
          <w:rFonts w:hint="eastAsia" w:ascii="Times New Roman" w:hAnsi="Times New Roman" w:eastAsia="方正仿宋_GBK" w:cs="Times New Roman"/>
          <w:b/>
          <w:bCs/>
          <w:sz w:val="32"/>
          <w:szCs w:val="32"/>
        </w:rPr>
        <w:t>科学适用、便于操作</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充分考虑湖南省养老机构规模差异、城乡差异、公办民办并存的实际情况，明确技术参数、检查方法和操作流程，确保监管人员、养老机构从业人员能够准确理解和执行。</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4. </w:t>
      </w:r>
      <w:r>
        <w:rPr>
          <w:rFonts w:hint="eastAsia" w:ascii="Times New Roman" w:hAnsi="Times New Roman" w:eastAsia="方正仿宋_GBK" w:cs="Times New Roman"/>
          <w:b/>
          <w:bCs/>
          <w:sz w:val="32"/>
          <w:szCs w:val="32"/>
        </w:rPr>
        <w:t>突出特色、适度超前</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融合食品安全管理与养老服务特性，突出适老化环境、个性化膳食、明厨亮灶、老年膳食委员会参与等要求，体现湖南省养老机构食堂管理特色，并兼顾未来发展需求。</w:t>
      </w:r>
    </w:p>
    <w:p>
      <w:pPr>
        <w:widowControl w:val="0"/>
        <w:adjustRightInd w:val="0"/>
        <w:spacing w:line="600" w:lineRule="exact"/>
        <w:ind w:firstLine="640" w:firstLineChars="200"/>
        <w:rPr>
          <w:rFonts w:ascii="Times New Roman" w:hAnsi="Times New Roman" w:eastAsia="方正楷体_GBK" w:cs="Times New Roman"/>
          <w:color w:val="000000"/>
          <w:kern w:val="2"/>
          <w:sz w:val="32"/>
          <w:szCs w:val="32"/>
          <w:shd w:val="clear" w:color="auto" w:fill="FFFFFF"/>
        </w:rPr>
      </w:pPr>
      <w:r>
        <w:rPr>
          <w:rFonts w:ascii="Times New Roman" w:hAnsi="Times New Roman" w:eastAsia="方正楷体_GBK" w:cs="Times New Roman"/>
          <w:color w:val="000000"/>
          <w:kern w:val="2"/>
          <w:sz w:val="32"/>
          <w:szCs w:val="32"/>
          <w:shd w:val="clear" w:color="auto" w:fill="FFFFFF"/>
        </w:rPr>
        <w:t>（二）主要技术要求的依据和理由</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 xml:space="preserve">第三章 </w:t>
      </w:r>
      <w:r>
        <w:rPr>
          <w:rFonts w:hint="eastAsia" w:ascii="Times New Roman" w:hAnsi="Times New Roman" w:eastAsia="方正仿宋_GBK" w:cs="Times New Roman"/>
          <w:b/>
          <w:bCs/>
          <w:sz w:val="32"/>
          <w:szCs w:val="32"/>
        </w:rPr>
        <w:t xml:space="preserve">  </w:t>
      </w:r>
      <w:r>
        <w:rPr>
          <w:rFonts w:ascii="Times New Roman" w:hAnsi="Times New Roman" w:eastAsia="方正仿宋_GBK" w:cs="Times New Roman"/>
          <w:b/>
          <w:bCs/>
          <w:sz w:val="32"/>
          <w:szCs w:val="32"/>
        </w:rPr>
        <w:t>基本要求</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养老机构食堂应取得食品经营许可证且在有效期内，实施的服务应符合经营许可范围，并按规定进行备案；食堂由外部具备合规资质服务机构提供服务时，应签订外包协议，明确相应的职责、权利和义务；文件与记录管理、监督与检查应符合 GB/T 33497 相关要求；使用的安全标志应符合 GB 2893、GB 2894 和 MZ/T 131 的要求；食堂场所内不应兜售保健食品、药品，不应使用不可回收或不可降解的一次性消费用品。</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依据：《中华人民共和国食品安全法》第三十三条、第四十五条，《养老机构管理办法》第二十五条，GB 31654、GB 2893、GB 2894、MZ/T 131、GB/T 33497。</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明确养老机构食堂合法经营、外包合作权责、人员健康、场所清洁、标志规范等底线要求，是保障食品安全和服务质量的最基础环节。规范外包协议签订要求，厘清委托方与外包服务机构管理边界，消除外包食堂监管空白；禁止兜售保健食品、药品，防止老年人因误信宣传而遭受经济损失或健康损害；限制一次性不可降解用品使用，契合绿色低碳、反食品浪费相关政策要求。</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 xml:space="preserve">第四章 </w:t>
      </w:r>
      <w:r>
        <w:rPr>
          <w:rFonts w:hint="eastAsia" w:ascii="Times New Roman" w:hAnsi="Times New Roman" w:eastAsia="方正仿宋_GBK" w:cs="Times New Roman"/>
          <w:b/>
          <w:bCs/>
          <w:sz w:val="32"/>
          <w:szCs w:val="32"/>
        </w:rPr>
        <w:t xml:space="preserve">  </w:t>
      </w:r>
      <w:r>
        <w:rPr>
          <w:rFonts w:ascii="Times New Roman" w:hAnsi="Times New Roman" w:eastAsia="方正仿宋_GBK" w:cs="Times New Roman"/>
          <w:b/>
          <w:bCs/>
          <w:sz w:val="32"/>
          <w:szCs w:val="32"/>
        </w:rPr>
        <w:t>机构和人员管理</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养老机构应设置食堂管理部门和工作人员，明确职责与权限，可依据规模配备食品安全总监；建立健全食堂卫生清洁、安全隐患排查、食品安全、进货查验、供应商评价、采购储存、加工留样、餐厨废弃物、设备维护、信息公示、重大事项报告、食物中毒应急处置、饮食禁忌和过敏史登记等 14 项管理制度；按规定对所有食堂从业人员开展健康体检并建立完整健康档案，档案包含从业人员登记表、有效健康证和培训考核记录；定期组织从业人员开展岗前、在职食品安全、服务技能、应急处置专项培训及考核；配备具备 2 年以上餐饮服务食品安全管理工作经历的专（兼）职食品安全员；宜配备专（兼）职营养健康管理人员，对老年人开展营养健康指导。</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依据：《中华人民共和国食品安全法》第三十三条、第四十四条，GB 31654-2021，《养老机构管理办法》第二十五条，《企业落实食品安全主体责任监督管理规定》。</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健全组织机构、完整制度体系、合规从业人员队伍是食堂规范化运营的根本保障。清单式全覆盖管理制度补齐各环节风险管控短板；明确食品安全员从业年限硬性条件，保障管理人员具备专业风险处置能力；建立饮食禁忌与过敏史登记制度，精准规避老年群体饮食过敏风险；常态化培训考核机制，解决养老食堂人员流动性大、专业能力不足的行业痛点；配备营养管理人员，匹配老年人慢病、吞咽障碍特殊营养需求。</w:t>
      </w:r>
      <w:r>
        <w:rPr>
          <w:rFonts w:hint="eastAsia" w:ascii="Times New Roman" w:hAnsi="Times New Roman" w:eastAsia="方正仿宋_GBK" w:cs="Times New Roman"/>
          <w:color w:val="000000"/>
          <w:kern w:val="2"/>
          <w:sz w:val="32"/>
          <w:szCs w:val="32"/>
          <w:shd w:val="clear" w:color="auto" w:fill="FFFFFF"/>
          <w:lang w:bidi="ar"/>
        </w:rPr>
        <w:t xml:space="preserve"> </w:t>
      </w:r>
      <w:r>
        <w:rPr>
          <w:rFonts w:ascii="Times New Roman" w:hAnsi="Times New Roman" w:eastAsia="方正仿宋_GBK" w:cs="Times New Roman"/>
          <w:color w:val="000000"/>
          <w:kern w:val="2"/>
          <w:sz w:val="32"/>
          <w:szCs w:val="32"/>
          <w:shd w:val="clear" w:color="auto" w:fill="FFFFFF"/>
          <w:lang w:bidi="ar"/>
        </w:rPr>
        <w:t xml:space="preserve"> </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 xml:space="preserve">第五章 </w:t>
      </w:r>
      <w:r>
        <w:rPr>
          <w:rFonts w:hint="eastAsia" w:ascii="Times New Roman" w:hAnsi="Times New Roman" w:eastAsia="方正仿宋_GBK" w:cs="Times New Roman"/>
          <w:b/>
          <w:bCs/>
          <w:sz w:val="32"/>
          <w:szCs w:val="32"/>
        </w:rPr>
        <w:t xml:space="preserve">  </w:t>
      </w:r>
      <w:r>
        <w:rPr>
          <w:rFonts w:ascii="Times New Roman" w:hAnsi="Times New Roman" w:eastAsia="方正仿宋_GBK" w:cs="Times New Roman"/>
          <w:b/>
          <w:bCs/>
          <w:sz w:val="32"/>
          <w:szCs w:val="32"/>
        </w:rPr>
        <w:t>场所管理</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食堂划分独立烹饪区、备餐间、就餐区、洗消间、原料储存区，整体干湿分区，按照原料入库、加工、成品供餐流程布设；原材料、成品、员工、餐用具回收通道宜分开设置，无法分设时错峰或覆盖运送；就餐场所配备防滑地面、适老化扶手，无障碍通道净宽不小于 1.2 m；室内温湿度、噪声、照明、空气质量指标符合 GB/T 18883、GB 22337、GB 50034；全面落实防鼠、防蝇、防尘、防潮、防异味措施；公共区域配套无障碍卫生间、饮水设备、急救箱，设置醒目日历、时钟，关键点位加装监控；设置合理膳食、减盐减油、反食品浪费宣传标识；场所醒目位置公示食品经营许可证、食堂管理制度、食品安全管理员、从业人员健康证、就餐时间、每周食谱、大宗原料来源、投诉举报电话；宜采用明厨亮灶。</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依据：《中华人民共和国食品安全法》第三十三条，GB 31654、GB 50763、GB 50034、GB/T 18883、GB 22337、MZ/T 131。</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科学分区、分通道布局从空间上阻断食品交叉污染路径；防滑、扶手、无障碍通道等适老化设施，针对老年人行动能力弱特点，降低跌倒、磕碰风险；统一室内环境量化标准，提升老年就餐舒适度；病媒生物综合防控切断食源性污染传播渠道；明厨亮灶、全要素信息公示保障老年人、家属及监管部门知情权，强化社会监督，提升食堂管理透明度。</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 xml:space="preserve">第六章 </w:t>
      </w:r>
      <w:r>
        <w:rPr>
          <w:rFonts w:hint="eastAsia" w:ascii="Times New Roman" w:hAnsi="Times New Roman" w:eastAsia="方正仿宋_GBK" w:cs="Times New Roman"/>
          <w:b/>
          <w:bCs/>
          <w:sz w:val="32"/>
          <w:szCs w:val="32"/>
        </w:rPr>
        <w:t xml:space="preserve">  </w:t>
      </w:r>
      <w:r>
        <w:rPr>
          <w:rFonts w:ascii="Times New Roman" w:hAnsi="Times New Roman" w:eastAsia="方正仿宋_GBK" w:cs="Times New Roman"/>
          <w:b/>
          <w:bCs/>
          <w:sz w:val="32"/>
          <w:szCs w:val="32"/>
        </w:rPr>
        <w:t>设备与用品管理</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食堂配置匹配供餐规模的冷藏、冷冻、清洗、消毒、保洁、留样、通风排烟、防蝇防鼠设备；冷藏冷冻设备温度监测管控符合 GB 31654 要求，定期检查留存记录；食品加工器具实行色标管理，动物性用具红色、水产品蓝色、植物性绿色、即食成品黄色，生熟容器严格分置禁止混用；就餐区配备稳固防滑、圆角、带扶手靠背适老化桌椅，设置紧急呼叫装置、防滑警示标识；油烟管道每月由具备资质机构清洗并留存记录；接触食品设备、容器选用不锈钢等易清洁材质，餐具选用耐高温、耐腐蚀环保可重复使用材质；特种设备、燃气、电器设备全生命周期登记、维保、检测、报废按强制标准执行。</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依据：GB 31654，《中华人民共和国食品安全法》第三十三条，《养老机构消防安全管理规定》（民发〔2023〕37 号）。</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齐全、合规、定期维保的设施设备是食品安全稳定运行的硬件基础；色标管理实现生熟、荤素加工器具物理隔离，从源头杜绝交叉污染；全套适老化桌椅、呼叫装置降低老年人就餐安全隐患；油烟管道月度专业清洗直击后厨火灾高发隐患，压实消防安全主体责任；统一食品接触器具材质标准，兼顾食品安全与环保治理要求。</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 xml:space="preserve">第七章 </w:t>
      </w:r>
      <w:r>
        <w:rPr>
          <w:rFonts w:hint="eastAsia" w:ascii="Times New Roman" w:hAnsi="Times New Roman" w:eastAsia="方正仿宋_GBK" w:cs="Times New Roman"/>
          <w:b/>
          <w:bCs/>
          <w:sz w:val="32"/>
          <w:szCs w:val="32"/>
        </w:rPr>
        <w:t xml:space="preserve">  </w:t>
      </w:r>
      <w:r>
        <w:rPr>
          <w:rFonts w:ascii="Times New Roman" w:hAnsi="Times New Roman" w:eastAsia="方正仿宋_GBK" w:cs="Times New Roman"/>
          <w:b/>
          <w:bCs/>
          <w:sz w:val="32"/>
          <w:szCs w:val="32"/>
        </w:rPr>
        <w:t>采购与储存管理</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选取具备合法资质供货主体，留存供应商资质复印件，宜建立稳定溯源供货渠道；进货查验记录、收货凭证保存期限不少于食品保质期满后 6 个月，无保质期不少于 2 年；原料感官性状、包装、标签、保质期、储存温度达标后方可入库；食材离墙离地 10 cm 以上存放，生熟、荤素、成品半成品分区分离，食品添加剂专人专柜上锁管理；散装食品存放于密闭容器并标注名称、生产日期、使用期限；严格执行先进先出，及时清理变质、过期食材；洗涤、消杀等有毒有害物品不得与食品同库存放。</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依据：《中华人民共和国食品安全法》第五十条、第五十三条、第五十四条，GB 31654。</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规范采购索证、进货查验、台账留存，筑牢食品安全源头管控防线，实现食材全程可追溯；统一离地离墙、分区存放标准，全方位防范食材受潮霉变、交叉污染；食品添加剂专人专管、有毒化学品隔离存放，杜绝添加剂滥用、化学品误食风险；先进先出管控减少食材过期损耗，降低变质食材流入加工环节隐患。</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 xml:space="preserve">第八章 </w:t>
      </w:r>
      <w:r>
        <w:rPr>
          <w:rFonts w:hint="eastAsia" w:ascii="Times New Roman" w:hAnsi="Times New Roman" w:eastAsia="方正仿宋_GBK" w:cs="Times New Roman"/>
          <w:b/>
          <w:bCs/>
          <w:sz w:val="32"/>
          <w:szCs w:val="32"/>
        </w:rPr>
        <w:t xml:space="preserve">  </w:t>
      </w:r>
      <w:r>
        <w:rPr>
          <w:rFonts w:ascii="Times New Roman" w:hAnsi="Times New Roman" w:eastAsia="方正仿宋_GBK" w:cs="Times New Roman"/>
          <w:b/>
          <w:bCs/>
          <w:sz w:val="32"/>
          <w:szCs w:val="32"/>
        </w:rPr>
        <w:t>过程管理</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8.1 营养食谱制定</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食堂按照 WS/T 556 要求，在营养师指导下编制食谱，每周轮换并公示留存，临时变更提前告知；优先采用蒸、煮、炖、烩烹调方式，成品细软易消化，减少坚硬、易粘连食材；宜为高血压、糖尿病、吞咽障碍等老年人定制个性化特殊膳食；不得向已知过敏老人供应含对应过敏原食品。</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依据：WS/T 556《老年人膳食指导》、《中华人民共和国食品安全法》第三十四条。</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老年人咀嚼、消化、吞咽机能衰退，慢病高发，标准化营养食谱、温和软烂烹饪方式可有效降低噎食、营养失衡风险；个性化膳食、过敏原禁供条款针对性解决老年群体特殊饮食健康需求，规避过敏性食源性疾病。</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8.2 加工及烹饪管理</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加工前查验原料感官状态，腐败变质、包装破损、超保质期食材不得使用；从业人员加工前清洗消毒手部、更换洁净工装；专间、专用操作区操作执行 GB 31654 中 6.2～6.4 条款；食品添加剂使用符合 GB 2760、GB 31654，实行专柜、专区、专人管理并完整记录使用台账。</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依据：GB 31654、GB 2760。</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理由：加工烹饪是食品污染、添加剂违规使用核心管控节点；原料入场感官排查剔除不合格食材；专间操作规范阻断即食食品二次污染；添加剂全流程管控，杜绝超范围、超剂量违规使用。</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8.3 供餐与助餐服务</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 xml:space="preserve">分餐、送餐人员作业前手部消毒，全程穿戴工作服、帽、口罩、一次性手套；分餐物品分类标识清晰，餐食在公示时限前备妥并落实保温；烹饪完成至食用时限不超过 2 h，超 2 h 需高于 60 </w:t>
      </w:r>
      <w:r>
        <w:rPr>
          <w:rFonts w:hint="eastAsia" w:ascii="Times New Roman" w:hAnsi="Times New Roman" w:eastAsia="方正仿宋_GBK" w:cs="Times New Roman"/>
          <w:color w:val="000000"/>
          <w:kern w:val="2"/>
          <w:sz w:val="32"/>
          <w:szCs w:val="32"/>
          <w:shd w:val="clear" w:color="auto" w:fill="FFFFFF"/>
          <w:lang w:bidi="ar"/>
        </w:rPr>
        <w:t>℃</w:t>
      </w:r>
      <w:r>
        <w:rPr>
          <w:rFonts w:ascii="Times New Roman" w:hAnsi="Times New Roman" w:eastAsia="方正仿宋_GBK" w:cs="Times New Roman"/>
          <w:color w:val="000000"/>
          <w:kern w:val="2"/>
          <w:sz w:val="32"/>
          <w:szCs w:val="32"/>
          <w:shd w:val="clear" w:color="auto" w:fill="FFFFFF"/>
          <w:lang w:bidi="ar"/>
        </w:rPr>
        <w:t xml:space="preserve">保温或低于 8 </w:t>
      </w:r>
      <w:r>
        <w:rPr>
          <w:rFonts w:hint="eastAsia" w:ascii="Times New Roman" w:hAnsi="Times New Roman" w:eastAsia="方正仿宋_GBK" w:cs="Times New Roman"/>
          <w:color w:val="000000"/>
          <w:kern w:val="2"/>
          <w:sz w:val="32"/>
          <w:szCs w:val="32"/>
          <w:shd w:val="clear" w:color="auto" w:fill="FFFFFF"/>
          <w:lang w:bidi="ar"/>
        </w:rPr>
        <w:t>℃</w:t>
      </w:r>
      <w:r>
        <w:rPr>
          <w:rFonts w:ascii="Times New Roman" w:hAnsi="Times New Roman" w:eastAsia="方正仿宋_GBK" w:cs="Times New Roman"/>
          <w:color w:val="000000"/>
          <w:kern w:val="2"/>
          <w:sz w:val="32"/>
          <w:szCs w:val="32"/>
          <w:shd w:val="clear" w:color="auto" w:fill="FFFFFF"/>
          <w:lang w:bidi="ar"/>
        </w:rPr>
        <w:t>冷藏存放；就餐期间安排工作人员现场值守，为行动不便、视力、上肢障碍老人提供入座、摆餐、送餐等一对一助餐；配置保温送餐车，上门送餐前核对老人、餐品信息，完整留存配送订单与签收记录；送餐器具餐后清洁消毒定点存放，回收餐具按 GB 31654 第九章规范处置。</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依据：GB 31654、GB/T 45872、MZ/T 186。</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理由：供餐、送餐直接面向老年人，兼具食品安全与适老化服务双重属性；2 小时存放时限管控抑制餐食微生物繁殖；标准化防护操作、密闭保温配送防止餐食二次污染；个性化助餐、送餐签收记录体现养老人文关怀，同时实现送餐服务全程可追溯。</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8.4 留样管理</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 xml:space="preserve">每日三餐所有品类食品均留样，每类留样量不少于 125 g；留样专柜上锁，容器标注食品名称、留样时间、餐别、采样人；置于 0 </w:t>
      </w:r>
      <w:r>
        <w:rPr>
          <w:rFonts w:hint="eastAsia" w:ascii="Times New Roman" w:hAnsi="Times New Roman" w:eastAsia="方正仿宋_GBK" w:cs="Times New Roman"/>
          <w:color w:val="000000"/>
          <w:kern w:val="2"/>
          <w:sz w:val="32"/>
          <w:szCs w:val="32"/>
          <w:shd w:val="clear" w:color="auto" w:fill="FFFFFF"/>
          <w:lang w:bidi="ar"/>
        </w:rPr>
        <w:t>℃</w:t>
      </w:r>
      <w:r>
        <w:rPr>
          <w:rFonts w:ascii="Times New Roman" w:hAnsi="Times New Roman" w:eastAsia="方正仿宋_GBK" w:cs="Times New Roman"/>
          <w:color w:val="000000"/>
          <w:kern w:val="2"/>
          <w:sz w:val="32"/>
          <w:szCs w:val="32"/>
          <w:shd w:val="clear" w:color="auto" w:fill="FFFFFF"/>
          <w:lang w:bidi="ar"/>
        </w:rPr>
        <w:t xml:space="preserve">～4 </w:t>
      </w:r>
      <w:r>
        <w:rPr>
          <w:rFonts w:hint="eastAsia" w:ascii="Times New Roman" w:hAnsi="Times New Roman" w:eastAsia="方正仿宋_GBK" w:cs="Times New Roman"/>
          <w:color w:val="000000"/>
          <w:kern w:val="2"/>
          <w:sz w:val="32"/>
          <w:szCs w:val="32"/>
          <w:shd w:val="clear" w:color="auto" w:fill="FFFFFF"/>
          <w:lang w:bidi="ar"/>
        </w:rPr>
        <w:t>℃</w:t>
      </w:r>
      <w:r>
        <w:rPr>
          <w:rFonts w:ascii="Times New Roman" w:hAnsi="Times New Roman" w:eastAsia="方正仿宋_GBK" w:cs="Times New Roman"/>
          <w:color w:val="000000"/>
          <w:kern w:val="2"/>
          <w:sz w:val="32"/>
          <w:szCs w:val="32"/>
          <w:shd w:val="clear" w:color="auto" w:fill="FFFFFF"/>
          <w:lang w:bidi="ar"/>
        </w:rPr>
        <w:t>冷藏设施留存不少于 48 h；留样期满无异常按餐厨垃圾规范处置并留存记录；宜使用专用留样标签；留样人员经食品安全专项培训；留样容器每周至少清洗消毒 1 次并留存记录。</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依据：《中华人民共和国食品安全法》、GB 31654-2021。</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食品留样是食品安全事故溯源调查的法定核心证据；统一量化留样标准，解决基层食堂留样量不足、存放时间不足、无标识、台账缺失等普遍违规问题；上锁专柜、定期消毒、规范处置全流程管控，保证留样真实有效，杜绝篡改、误用。</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8.5 清洁消毒管理</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场所、用具、设备清洗消毒保洁维护符合 GB 31654；油烟排风管道每月由具备资质机构清洗；日常场所每日不少于 2 次湿式清扫；传染病疫情期间使用 250 mg/L～500 mg/L 含氯消毒剂消毒；原料、即食餐用具清洗水池专用分区，设置明显区分标识；化学消毒后餐具沥干烘干，存放于密闭专用保洁设施并定期维护；烹饪区、就餐区、卫生间分区域落实清洁标准；规范配置病媒生物防控设施，物理防治优先、化学防治为辅。</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依据：GB 31654、《中华人民共和国传染病防治法》相关消毒规范。</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常态化分场景清洁消毒是切断病菌传播的关键手段；区分日常清洁与疫情专项消毒标准，统一全省操作尺度；水池分区、密闭保洁设施杜绝餐具二次污染；明确病媒生物防治原则，避免消杀药剂污染食材、伤害老年人。</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8.6 餐厨废弃物管理</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设置独立带盖防渗餐厨垃圾存放容器，分区标识清晰、日产日清；与具备正规资质收运机构签订处置协议；农村无合规收运主体时，核查收运人员处置方式，签订禁止回收炼制地沟油书面协议并留存身份信息；建立餐厨废弃物处置台账，完整记录经手人员、废弃物流向。</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依据：《中华人民共和国食品安全法》、《中华人民共和国固体废物污染环境防治法》。</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理由：餐厨废弃物末端闭环管控是阻断 “地沟油” 回流餐桌、防治环境污染的关键环节；针对湖南城乡发展差异设置差异化管控规则，兼顾城市标准化收运、农村小型机构实操条件，全方位管控废弃物流向安全风险。</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 xml:space="preserve">第九章 </w:t>
      </w:r>
      <w:r>
        <w:rPr>
          <w:rFonts w:hint="eastAsia" w:ascii="Times New Roman" w:hAnsi="Times New Roman" w:eastAsia="方正仿宋_GBK" w:cs="Times New Roman"/>
          <w:b/>
          <w:bCs/>
          <w:sz w:val="32"/>
          <w:szCs w:val="32"/>
        </w:rPr>
        <w:t xml:space="preserve">  </w:t>
      </w:r>
      <w:r>
        <w:rPr>
          <w:rFonts w:ascii="Times New Roman" w:hAnsi="Times New Roman" w:eastAsia="方正仿宋_GBK" w:cs="Times New Roman"/>
          <w:b/>
          <w:bCs/>
          <w:sz w:val="32"/>
          <w:szCs w:val="32"/>
        </w:rPr>
        <w:t>安全应急管理</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建立食堂综合应急管理机制，制定食物中毒、火灾、停水停电、停气、防汛、传染病等多场景应急预案并定期组织演练；突发事件发生后第一时间上报民政、市场监管、卫健主管部门，立即停止供餐、协助救治患者、封存涉事食品及工具设备、保护现场，配合监管部门开展调查；保障消防疏散通道全程畅通；病媒生物化学防治优先选用低毒药剂，降低食品、人身安全风险。</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依据：《中华人民共和国食品安全法》第一百零五条、《中华人民共和国突发事件应对法》（2024 修订）、《养老机构管理办法》第二十八条、消防安全相关法规。</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老年人自救、抗风险能力薄弱，食堂运行存在多重安全隐患，单一食物中毒预案无法覆盖全部风险；多场景综合预案、标准化上报处置流程，实现突发事件快速分级处置，最大限度降低人员伤害、财产损失与舆情风险；规范消防通道、消杀药剂使用，消除次生安全隐患。</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 xml:space="preserve">第十章 </w:t>
      </w:r>
      <w:r>
        <w:rPr>
          <w:rFonts w:hint="eastAsia" w:ascii="Times New Roman" w:hAnsi="Times New Roman" w:eastAsia="方正仿宋_GBK" w:cs="Times New Roman"/>
          <w:b/>
          <w:bCs/>
          <w:sz w:val="32"/>
          <w:szCs w:val="32"/>
        </w:rPr>
        <w:t xml:space="preserve">  </w:t>
      </w:r>
      <w:r>
        <w:rPr>
          <w:rFonts w:ascii="Times New Roman" w:hAnsi="Times New Roman" w:eastAsia="方正仿宋_GBK" w:cs="Times New Roman"/>
          <w:b/>
          <w:bCs/>
          <w:sz w:val="32"/>
          <w:szCs w:val="32"/>
        </w:rPr>
        <w:t>服务质量管理</w:t>
      </w:r>
    </w:p>
    <w:bookmarkEnd w:id="2"/>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bookmarkStart w:id="3" w:name="Xde4008aa7fd840c5d68b319225bfaae0044224a"/>
      <w:r>
        <w:rPr>
          <w:rFonts w:ascii="Times New Roman" w:hAnsi="Times New Roman" w:eastAsia="方正仿宋_GBK" w:cs="Times New Roman"/>
          <w:color w:val="000000"/>
          <w:kern w:val="2"/>
          <w:sz w:val="32"/>
          <w:szCs w:val="32"/>
          <w:shd w:val="clear" w:color="auto" w:fill="FFFFFF"/>
          <w:lang w:bidi="ar"/>
        </w:rPr>
        <w:t>建立食堂服务质量监督机制，设置专职检查人员，落实 “日管控、周排查、月调度”；每月至少开展一次膳食现场抽查，重大隐患整改完成后组织复查并留存全部记录；建立投诉受理、核查处置、限时回复、档案留存闭环机制，就餐区公示投诉举报电话；宜组建老年膳食委员会参与食堂监督，定期收集老年人及家属意见；宜定期开展就餐满意度测评并公示测评结果，针对反馈意见持续优化食堂菜品、服务、营养搭配。</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依据：《养老机构管理办法》第二十五条、第四十条，GB/T 35796-2017《养老机构服务质量基本规范》。</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理由：常态化自查、群众监督、满意度测评构成长效质量改进闭环；“日管控、周排查、月调度” 压实机构日常自查主体责任；老年膳食委员会、投诉渠道、满意度测评充分保障老年人监督话语权，解决养老食堂重安全管控、忽视老年就餐体验的普遍问题。</w:t>
      </w:r>
    </w:p>
    <w:p>
      <w:pPr>
        <w:widowControl w:val="0"/>
        <w:adjustRightInd w:val="0"/>
        <w:spacing w:line="600" w:lineRule="exact"/>
        <w:ind w:firstLine="640" w:firstLineChars="200"/>
        <w:jc w:val="both"/>
        <w:rPr>
          <w:rFonts w:ascii="Times New Roman" w:hAnsi="Times New Roman" w:eastAsia="黑体" w:cs="Times New Roman"/>
          <w:sz w:val="32"/>
          <w:szCs w:val="32"/>
        </w:rPr>
      </w:pPr>
      <w:r>
        <w:rPr>
          <w:rFonts w:ascii="Times New Roman" w:hAnsi="Times New Roman" w:eastAsia="黑体" w:cs="Times New Roman"/>
          <w:sz w:val="32"/>
          <w:szCs w:val="32"/>
        </w:rPr>
        <w:t>三、与有关法律、行政法规和其他标准的关系，配套推荐性标准的制定情况</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（一）与法律、行政法规的关系</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本标准全部条款与现行法律、法规、规章保持高度一致，无冲突、无降低法定底线要求，核心依据清单如下：</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《中华人民共和国老年人权益保障法》（2018 年修正）、《中华人民共和国食品安全法》（2021 年修正）及实施条例、《中华人民共和国消防法》（2021 年修正）、《中华人民共和国建筑法》、《建设工程质量管理条例》、《中华人民共和国安全生产法》（2021 年修正）、《中华人民共和国固体废物污染环境防治法》、《中华人民共和国个人信息保护法》、《中华人民共和国消费者权益保护法》、《中华人民共和国反食品浪费法》（2021 年）、《中华人民共和国突发事件应对法》（2024 年修订）、《中华人民共和国传染病防治法》；</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部门规章：《养老机构管理办法》（民政部令第 66 号，2020 年）、《企业落实食品安全主体责任监督管理规定》（市监总局令 60 号，2022 年）、《食品经营许可管理办法》（市监总局令 78 号，2023 年）、《食品生产经营监督检查管理办法》（市监总局令 49 号，2022 年）、《餐饮服务食品安全操作规范》（市监总局 2018 年 12 号公告）；</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国家、省级政策文件：国办发〔2020〕48 号、中发〔2019〕17 号、国办发〔2024〕1 号、《国民营养计划（2017—2030 年）》、《湖南省民政厅关于加强养老机构食堂规范化建设和管理的通知》（2025 年）、湖南省 “十四五” 养老服务发展规划。</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本标准是上述法律法规、政策文件在湖南省养老机构食堂细分领域的落地转化，将宏观监管要求转化为可量化、可检查、可执行的技术条款。</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（二）与其他强制性标准的关系</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本标准引用了以下强制性国家标准和行业标准，所规定的技术要求不低于上述强制性标准：</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GB 2760《食品安全国家标准 食品添加剂使用标准》、GB 31654—2021《食品安全国家标准 餐饮服务通用卫生规范》、GB 50763《无障碍设计规范》。</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在制定过程中，充分引用和落实上述强制性标准的相关要求，但不替代或修改上述强制性标准。当养老机构食堂的状态违反上述强制性标准的关键条款，且达到重大风险程度时，依据相关法律法规进行处理。</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（三）与推荐性标准的关系</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本标准与省内现有地方推荐性标准形成服务链互补，同时引用多项国家、行业推荐性标准，保证全省养老服务标准体系统一、衔接顺畅。</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——横向协调：与DB43/T 2063-2021《社区居家养老护理服务规范》形成服务链互补，共同完善湖南省养老服务标准体系；</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——纵向衔接：引用GB/T 18883-2022《室内空气质量标准》、GB/T 45872《居家养老助餐服务指南》、MZ/T 131《养老服务常用图形符号及标志》、MZ/T 186《养老机构膳食服务基本规范》、MZ/T 215《养老机构设施设备配置》、WS/T 556《老年人膳食指导》等推荐性标准，确保标准体系一致性。</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本标准与GB 31654、MZ/T 186等标准形成互补关系。GB 31654侧重餐饮服务通用卫生要求，MZ/T 186侧重养老机构膳食服务基本规范，本标准更聚焦养老机构食堂日常管理全流程，在场所适老化、设备配置、服务流程、质量管控、应急处置等方面作出更细化的规定，共同构成养老机构食堂安全与服务质量的标准体系。</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（四）与产业政策的关系</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符合《国务院办公厅关于发展银发经济增进老年人福祉的意见》、《国民营养计划（2017—2030年）》、《湖南省“十四五”养老服务发展规划》等国家及地方产业政策导向，能够有效助力全省养老服务高质量发展，与现行产业政策不存在冲突。</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（五）配套推荐性标准的制定情况</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现行配套推荐性标准GB/T 35796-2017《养老机构服务质量基本规范》、GB/T 37276-2018《养老机构等级划分与评定》、MZ/T 032-2012《养老机构安全管理》等侧重于服务质量、等级评价和一般性安全管理要求。本标准作为地方标准，聚焦养老机构食堂管理这一专项领域，共同构成养老机构安全与服务质量的标准体系。后续，在本标准实施过程中，需同步开展配套推荐性标准的制定工作，形成“强制底线+推荐提升”的标准体系。</w:t>
      </w:r>
    </w:p>
    <w:bookmarkEnd w:id="3"/>
    <w:p>
      <w:pPr>
        <w:widowControl w:val="0"/>
        <w:adjustRightInd w:val="0"/>
        <w:spacing w:line="600" w:lineRule="exact"/>
        <w:ind w:firstLine="640" w:firstLineChars="200"/>
        <w:rPr>
          <w:rFonts w:ascii="Times New Roman" w:hAnsi="Times New Roman" w:eastAsia="黑体" w:cs="Times New Roman"/>
          <w:sz w:val="32"/>
          <w:szCs w:val="32"/>
        </w:rPr>
      </w:pPr>
      <w:bookmarkStart w:id="4" w:name="ad48da69-395f-4c55-b78f-3c4f469cab23"/>
      <w:r>
        <w:rPr>
          <w:rFonts w:ascii="Times New Roman" w:hAnsi="Times New Roman" w:eastAsia="黑体" w:cs="Times New Roman"/>
          <w:sz w:val="32"/>
          <w:szCs w:val="32"/>
        </w:rPr>
        <w:t>四、与国际标准化组织、其他国家或者地区有关法律法规和标准的比对分析</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国际标准化组织（ISO）尚未发布专门针对养老机构食堂管理的国际标准。但在社会责任（ISO 26000）、风险管理（ISO 31000）等领域有相关指南，可为本标准的制定提供间接参考，尤其是在风险管理、安全管理体系构建等方面的理念和方法。</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美国、英国、日本、澳大利亚等国家对养老机构（或护理院）的食品安全和膳食服务有较为完善的监管体系，多嵌入食品安全法律法规或养老机构运营规范中。</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（一）国际标准化组织（ISO）</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ISO尚未发布专门针对养老机构食堂管理的国际标准。但在社会责任（ISO 26000）、风险管理（ISO 31000）、医疗组织安全管理等领域有相关指南，可为本标准的制定提供间接参考，尤其是在风险管理、安全管理体系构建等方面的理念和方法。</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（二）有关国家/地区情况</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1. </w:t>
      </w:r>
      <w:r>
        <w:rPr>
          <w:rFonts w:hint="eastAsia" w:ascii="Times New Roman" w:hAnsi="Times New Roman" w:eastAsia="方正仿宋_GBK" w:cs="Times New Roman"/>
          <w:b/>
          <w:bCs/>
          <w:sz w:val="32"/>
          <w:szCs w:val="32"/>
        </w:rPr>
        <w:t>美国</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由联邦医疗保险和医疗补助服务中心（CMS）依据《联邦食品、药品和化妆品法》及州级食品安全法规对养老院餐饮服务的食品安全、营养充足性、特殊饮食等进行监管。特点是将食品安全与营养评估纳入运营许可和医保支付的强制性条件中。</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2. </w:t>
      </w:r>
      <w:r>
        <w:rPr>
          <w:rFonts w:hint="eastAsia" w:ascii="Times New Roman" w:hAnsi="Times New Roman" w:eastAsia="方正仿宋_GBK" w:cs="Times New Roman"/>
          <w:b/>
          <w:bCs/>
          <w:sz w:val="32"/>
          <w:szCs w:val="32"/>
        </w:rPr>
        <w:t>英国</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护理质量委员会（</w:t>
      </w:r>
      <w:r>
        <w:rPr>
          <w:rFonts w:hint="eastAsia" w:ascii="Times New Roman" w:hAnsi="Times New Roman" w:eastAsia="方正仿宋_GBK" w:cs="Times New Roman"/>
          <w:color w:val="000000"/>
          <w:kern w:val="2"/>
          <w:sz w:val="32"/>
          <w:szCs w:val="32"/>
          <w:shd w:val="clear" w:color="auto" w:fill="FFFFFF"/>
          <w:lang w:bidi="ar"/>
        </w:rPr>
        <w:t>CQC</w:t>
      </w:r>
      <w:r>
        <w:rPr>
          <w:rFonts w:ascii="Times New Roman" w:hAnsi="Times New Roman" w:eastAsia="方正仿宋_GBK" w:cs="Times New Roman"/>
          <w:color w:val="000000"/>
          <w:kern w:val="2"/>
          <w:sz w:val="32"/>
          <w:szCs w:val="32"/>
          <w:shd w:val="clear" w:color="auto" w:fill="FFFFFF"/>
          <w:lang w:bidi="ar"/>
        </w:rPr>
        <w:t>）依据《健康与社会护理法案》进行监管，发布的《基本标准》中“安全”和“营养与水分”是核心标准，要求服务机构必须识别、评估和降低食品安全风险，保障服务使用者获得安全、营养的饮食，监管机构有详细的评估框架和指南。</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3. </w:t>
      </w:r>
      <w:r>
        <w:rPr>
          <w:rFonts w:hint="eastAsia" w:ascii="Times New Roman" w:hAnsi="Times New Roman" w:eastAsia="方正仿宋_GBK" w:cs="Times New Roman"/>
          <w:b/>
          <w:bCs/>
          <w:sz w:val="32"/>
          <w:szCs w:val="32"/>
        </w:rPr>
        <w:t>日本</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根据《老年人福利法》和《护理保险法》，对养老设施的膳食服务有严格的设置标准和运营标准，包括营养师配备、食谱管理、特殊膳食供应等要求。食品安全方面遵循《食品卫生法》，采用定期检查和不事先通知抽查相结合的监管方式。</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4. </w:t>
      </w:r>
      <w:r>
        <w:rPr>
          <w:rFonts w:hint="eastAsia" w:ascii="Times New Roman" w:hAnsi="Times New Roman" w:eastAsia="方正仿宋_GBK" w:cs="Times New Roman"/>
          <w:b/>
          <w:bCs/>
          <w:sz w:val="32"/>
          <w:szCs w:val="32"/>
        </w:rPr>
        <w:t>澳大利亚</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依据《老年护理法案》和《护老服务质量标准》，标准涉及餐饮服务安全、营养需求评估、特殊饮食管理、消费者尊严与选择等要求，标准具体列出了预期结果和评估指标。</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本标准立足湖南省养老机构实际，借鉴国际经验，在食品安全基础上突出适老化服务、营养健康管理和老年人参与，更贴合国内养老机构食堂管理实际需求。</w:t>
      </w:r>
    </w:p>
    <w:bookmarkEnd w:id="4"/>
    <w:p>
      <w:pPr>
        <w:widowControl w:val="0"/>
        <w:adjustRightInd w:val="0"/>
        <w:spacing w:line="600" w:lineRule="exact"/>
        <w:ind w:firstLine="640" w:firstLineChars="200"/>
        <w:rPr>
          <w:rFonts w:ascii="Times New Roman" w:hAnsi="Times New Roman" w:eastAsia="黑体" w:cs="Times New Roman"/>
          <w:sz w:val="32"/>
          <w:szCs w:val="32"/>
        </w:rPr>
      </w:pPr>
      <w:bookmarkStart w:id="5" w:name="X86ed595347ea5888833d6eeb5fa0ff2832acd3b"/>
      <w:r>
        <w:rPr>
          <w:rFonts w:ascii="Times New Roman" w:hAnsi="Times New Roman" w:eastAsia="黑体" w:cs="Times New Roman"/>
          <w:sz w:val="32"/>
          <w:szCs w:val="32"/>
        </w:rPr>
        <w:t>五、实施地方标准要求和措施建议</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（一）实施主体</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实施主体为湖南省行政区域内各类养老机构（含公办、民办、公建民营等运营模式）及其食堂运营管理部门。各级民政部门、市场监督管理部门、卫生健康部门、消防救援机构等依据法定职责，负责本标准实施的监督管理和指导工作。</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（二）宣贯培训</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标准正式发布实施后，</w:t>
      </w:r>
      <w:r>
        <w:rPr>
          <w:rFonts w:hint="eastAsia" w:ascii="Times New Roman" w:hAnsi="Times New Roman" w:eastAsia="方正仿宋_GBK" w:cs="Times New Roman"/>
          <w:color w:val="000000"/>
          <w:kern w:val="2"/>
          <w:sz w:val="32"/>
          <w:szCs w:val="32"/>
          <w:shd w:val="clear" w:color="auto" w:fill="FFFFFF"/>
          <w:lang w:bidi="ar"/>
        </w:rPr>
        <w:t>建议</w:t>
      </w:r>
      <w:r>
        <w:rPr>
          <w:rFonts w:ascii="Times New Roman" w:hAnsi="Times New Roman" w:eastAsia="方正仿宋_GBK" w:cs="Times New Roman"/>
          <w:color w:val="000000"/>
          <w:kern w:val="2"/>
          <w:sz w:val="32"/>
          <w:szCs w:val="32"/>
          <w:shd w:val="clear" w:color="auto" w:fill="FFFFFF"/>
          <w:lang w:bidi="ar"/>
        </w:rPr>
        <w:t>组织标准起草组编制《养老机构食堂管理规范实施指南》，细化标准条款的操作流程、检查要点和达标判定方法。面向养老机构负责人、食堂从业人员开展专项培训，确保标准条款准确理解、落地执行；同步开展全方位宣贯工作，提升主管部门、运营单位及社会公众对本标准的认知，为标准实施营造良好环境。</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（三）试点示范</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选取不同类型、不同规模的养老机构开展标准实施试点，总结可复制、可推广的经验模式，以点带面推动全省养老机构食堂规范化管理。鼓励依托信息化手段，建立食品采购、留样、配送全程可追溯系统，提升食堂管理智能化水平。</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（四）配套制度</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指导养老机构建立健全食品安全、膳食营养、应急处置等配套管理制度，形成标准引领、制度保障、技术支撑的实施体系。坚持公益为主，实行分类推进，坚守养老服务公益属性，采用“公益为主、市场化运作为辅”的运营模式，优先保障高龄、独居、失能等特殊困难老年人就餐需求。鼓励各地结合实际，选用政府补贴、自营运营、第三方委托运营等模式，保障养老机构食堂可持续发展。</w:t>
      </w:r>
    </w:p>
    <w:p>
      <w:pPr>
        <w:widowControl w:val="0"/>
        <w:adjustRightInd w:val="0"/>
        <w:spacing w:line="600" w:lineRule="exact"/>
        <w:ind w:firstLine="642" w:firstLineChars="200"/>
        <w:jc w:val="both"/>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（五）监督评估</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由民政、市场监管、消防救援等部门建立协同监管与联合检查机制，定期开展现场督查，对不符合标准的经营行为依法处置。在强化监管的同时，鼓励社会组织、餐饮企业等多元主体参与食堂运营，构建长效化运营管理体系。建立标准实施效果评估机制，定期收集养老机构、监管部门、老年人及家属的反馈意见，为标准修订完善提供依据。</w:t>
      </w:r>
    </w:p>
    <w:bookmarkEnd w:id="5"/>
    <w:p>
      <w:pPr>
        <w:widowControl w:val="0"/>
        <w:adjustRightInd w:val="0"/>
        <w:spacing w:line="600" w:lineRule="exact"/>
        <w:ind w:firstLine="640" w:firstLineChars="200"/>
        <w:rPr>
          <w:rFonts w:ascii="Times New Roman" w:hAnsi="Times New Roman" w:eastAsia="黑体" w:cs="Times New Roman"/>
          <w:sz w:val="32"/>
          <w:szCs w:val="32"/>
        </w:rPr>
      </w:pPr>
      <w:bookmarkStart w:id="6" w:name="e5766cb0-d4b1-41a9-9bac-d682e270a955"/>
      <w:r>
        <w:rPr>
          <w:rFonts w:ascii="Times New Roman" w:hAnsi="Times New Roman" w:eastAsia="黑体" w:cs="Times New Roman"/>
          <w:sz w:val="32"/>
          <w:szCs w:val="32"/>
        </w:rPr>
        <w:t>六、重大分歧意见的处理过程、处理意见及其依据</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无。</w:t>
      </w:r>
    </w:p>
    <w:bookmarkEnd w:id="6"/>
    <w:p>
      <w:pPr>
        <w:widowControl w:val="0"/>
        <w:adjustRightInd w:val="0"/>
        <w:spacing w:line="600" w:lineRule="exact"/>
        <w:ind w:firstLine="640" w:firstLineChars="200"/>
        <w:rPr>
          <w:rFonts w:ascii="Times New Roman" w:hAnsi="Times New Roman" w:eastAsia="黑体" w:cs="Times New Roman"/>
          <w:sz w:val="32"/>
          <w:szCs w:val="32"/>
        </w:rPr>
      </w:pPr>
      <w:bookmarkStart w:id="7" w:name="X6d7a9983503a99c79fb2271fca63fd3f8687c68"/>
      <w:r>
        <w:rPr>
          <w:rFonts w:ascii="Times New Roman" w:hAnsi="Times New Roman" w:eastAsia="黑体" w:cs="Times New Roman"/>
          <w:sz w:val="32"/>
          <w:szCs w:val="32"/>
        </w:rPr>
        <w:t>七、废止现行有关标准的建议</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本标准为首次制定，不涉及废止现行地方标准。</w:t>
      </w:r>
    </w:p>
    <w:bookmarkEnd w:id="7"/>
    <w:p>
      <w:pPr>
        <w:widowControl w:val="0"/>
        <w:adjustRightInd w:val="0"/>
        <w:spacing w:line="600" w:lineRule="exact"/>
        <w:ind w:firstLine="640" w:firstLineChars="200"/>
        <w:rPr>
          <w:rFonts w:ascii="Times New Roman" w:hAnsi="Times New Roman" w:eastAsia="黑体" w:cs="Times New Roman"/>
          <w:sz w:val="32"/>
          <w:szCs w:val="32"/>
        </w:rPr>
      </w:pPr>
      <w:bookmarkStart w:id="8" w:name="cb32a49e-f2f1-4a23-be86-9b949e7d8ea3"/>
      <w:r>
        <w:rPr>
          <w:rFonts w:ascii="Times New Roman" w:hAnsi="Times New Roman" w:eastAsia="黑体" w:cs="Times New Roman"/>
          <w:sz w:val="32"/>
          <w:szCs w:val="32"/>
        </w:rPr>
        <w:t>八、涉及专利的有关说明</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本标准不涉及任何专利技术或知识产权。</w:t>
      </w:r>
    </w:p>
    <w:bookmarkEnd w:id="8"/>
    <w:p>
      <w:pPr>
        <w:widowControl w:val="0"/>
        <w:adjustRightInd w:val="0"/>
        <w:spacing w:line="600" w:lineRule="exact"/>
        <w:ind w:firstLine="640" w:firstLineChars="200"/>
        <w:rPr>
          <w:rFonts w:ascii="Times New Roman" w:hAnsi="Times New Roman" w:eastAsia="黑体" w:cs="Times New Roman"/>
          <w:sz w:val="32"/>
          <w:szCs w:val="32"/>
        </w:rPr>
      </w:pPr>
      <w:bookmarkStart w:id="9" w:name="X902a358899fcfe1bfcff8e72e8403ea56c06359"/>
      <w:r>
        <w:rPr>
          <w:rFonts w:ascii="Times New Roman" w:hAnsi="Times New Roman" w:eastAsia="黑体" w:cs="Times New Roman"/>
          <w:sz w:val="32"/>
          <w:szCs w:val="32"/>
        </w:rPr>
        <w:t>九、本标准所涉及的产品、过程或者服务目录</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本标准主要涉及养老机构食堂管理程序、规则和管理要求，不直接涉及特定产品目录。</w:t>
      </w:r>
    </w:p>
    <w:bookmarkEnd w:id="9"/>
    <w:p>
      <w:pPr>
        <w:widowControl w:val="0"/>
        <w:adjustRightInd w:val="0"/>
        <w:spacing w:line="600" w:lineRule="exact"/>
        <w:ind w:firstLine="640" w:firstLineChars="200"/>
        <w:rPr>
          <w:rFonts w:ascii="Times New Roman" w:hAnsi="Times New Roman" w:eastAsia="黑体" w:cs="Times New Roman"/>
          <w:sz w:val="32"/>
          <w:szCs w:val="32"/>
        </w:rPr>
      </w:pPr>
      <w:bookmarkStart w:id="10" w:name="X79abed173f860bac6fdd1acf299257406227a50"/>
      <w:r>
        <w:rPr>
          <w:rFonts w:ascii="Times New Roman" w:hAnsi="Times New Roman" w:eastAsia="黑体" w:cs="Times New Roman"/>
          <w:sz w:val="32"/>
          <w:szCs w:val="32"/>
        </w:rPr>
        <w:t>十、其他应当予以说明的事项</w:t>
      </w:r>
    </w:p>
    <w:p>
      <w:pPr>
        <w:widowControl w:val="0"/>
        <w:adjustRightInd w:val="0"/>
        <w:spacing w:line="600" w:lineRule="exact"/>
        <w:ind w:firstLine="640" w:firstLineChars="200"/>
        <w:jc w:val="both"/>
        <w:rPr>
          <w:rFonts w:ascii="Times New Roman" w:hAnsi="Times New Roman" w:eastAsia="方正仿宋_GBK" w:cs="Times New Roman"/>
          <w:color w:val="000000"/>
          <w:kern w:val="2"/>
          <w:sz w:val="32"/>
          <w:szCs w:val="32"/>
          <w:shd w:val="clear" w:color="auto" w:fill="FFFFFF"/>
          <w:lang w:bidi="ar"/>
        </w:rPr>
      </w:pPr>
      <w:r>
        <w:rPr>
          <w:rFonts w:ascii="Times New Roman" w:hAnsi="Times New Roman" w:eastAsia="方正仿宋_GBK" w:cs="Times New Roman"/>
          <w:color w:val="000000"/>
          <w:kern w:val="2"/>
          <w:sz w:val="32"/>
          <w:szCs w:val="32"/>
          <w:shd w:val="clear" w:color="auto" w:fill="FFFFFF"/>
          <w:lang w:bidi="ar"/>
        </w:rPr>
        <w:t>根据《公平竞争审查条例》《公平竞争审查条例实施办法》要求，标准起草组针对本标准开展了公平竞争审查。经审查，本标准内容符合公平竞争审查要求，未发现存在限制市场准入、商品自由流动、影响经营者生产经营成本或干预经营行为等违反公平竞争原则的情形。</w:t>
      </w:r>
      <w:bookmarkEnd w:id="1"/>
      <w:bookmarkEnd w:id="10"/>
    </w:p>
    <w:sectPr>
      <w:footerReference r:id="rId5" w:type="default"/>
      <w:footnotePr>
        <w:numRestart w:val="eachSect"/>
      </w:footnotePr>
      <w:pgSz w:w="12240" w:h="15840"/>
      <w:pgMar w:top="1440" w:right="1800" w:bottom="1440" w:left="1800" w:header="720" w:footer="720"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Aptos">
    <w:altName w:val="DejaVu Math TeX Gyre"/>
    <w:panose1 w:val="00000000000000000000"/>
    <w:charset w:val="00"/>
    <w:family w:val="swiss"/>
    <w:pitch w:val="default"/>
    <w:sig w:usb0="00000000" w:usb1="00000000" w:usb2="00000000" w:usb3="00000000" w:csb0="0000019F" w:csb1="00000000"/>
  </w:font>
  <w:font w:name="DejaVu Math TeX Gyre">
    <w:panose1 w:val="02000503000000000000"/>
    <w:charset w:val="00"/>
    <w:family w:val="auto"/>
    <w:pitch w:val="default"/>
    <w:sig w:usb0="A10000EF" w:usb1="4201F9EE" w:usb2="02000000" w:usb3="00000000" w:csb0="60000193" w:csb1="0DD4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等线">
    <w:altName w:val="仿宋"/>
    <w:panose1 w:val="00000000000000000000"/>
    <w:charset w:val="86"/>
    <w:family w:val="auto"/>
    <w:pitch w:val="default"/>
    <w:sig w:usb0="00000000" w:usb1="00000000" w:usb2="00000000" w:usb3="00000000" w:csb0="00000000" w:csb1="00000000"/>
  </w:font>
  <w:font w:name="Aptos Display">
    <w:altName w:val="DejaVu Math TeX Gyre"/>
    <w:panose1 w:val="00000000000000000000"/>
    <w:charset w:val="00"/>
    <w:family w:val="swiss"/>
    <w:pitch w:val="default"/>
    <w:sig w:usb0="00000000" w:usb1="00000000" w:usb2="00000000" w:usb3="00000000" w:csb0="0000019F" w:csb1="00000000"/>
  </w:font>
  <w:font w:name="等线 Light">
    <w:altName w:val="华文中宋"/>
    <w:panose1 w:val="02010600030101010101"/>
    <w:charset w:val="86"/>
    <w:family w:val="auto"/>
    <w:pitch w:val="default"/>
    <w:sig w:usb0="00000000" w:usb1="00000000" w:usb2="00000016" w:usb3="00000000" w:csb0="0004000F" w:csb1="00000000"/>
  </w:font>
  <w:font w:name="Consolas">
    <w:altName w:val="Liberation Sans Narrow"/>
    <w:panose1 w:val="020B0609020204030204"/>
    <w:charset w:val="00"/>
    <w:family w:val="modern"/>
    <w:pitch w:val="default"/>
    <w:sig w:usb0="00000000" w:usb1="00000000" w:usb2="00000001" w:usb3="00000000" w:csb0="6000019F" w:csb1="DFD70000"/>
  </w:font>
  <w:font w:name="Liberation Sans Narrow">
    <w:panose1 w:val="020B0606020202030204"/>
    <w:charset w:val="00"/>
    <w:family w:val="auto"/>
    <w:pitch w:val="default"/>
    <w:sig w:usb0="A00002AF" w:usb1="500078FB" w:usb2="00000000" w:usb3="00000000" w:csb0="6000009F" w:csb1="DFD70000"/>
  </w:font>
  <w:font w:name="方正小标宋_GBK">
    <w:panose1 w:val="02000000000000000000"/>
    <w:charset w:val="86"/>
    <w:family w:val="script"/>
    <w:pitch w:val="default"/>
    <w:sig w:usb0="00000001" w:usb1="08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等线">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Light">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6"/>
                </w:pPr>
                <w:r>
                  <w:fldChar w:fldCharType="begin"/>
                </w:r>
                <w:r>
                  <w:instrText xml:space="preserve"> PAGE  \* MERGEFORMAT </w:instrText>
                </w:r>
                <w:r>
                  <w:fldChar w:fldCharType="separate"/>
                </w:r>
                <w:r>
                  <w:t>2</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nforcement="0"/>
  <w:defaultTabStop w:val="720"/>
  <w:drawingGridHorizontalSpacing w:val="360"/>
  <w:drawingGridVerticalSpacing w:val="360"/>
  <w:displayHorizontalDrawingGridEvery w:val="0"/>
  <w:displayVerticalDrawingGridEvery w:val="0"/>
  <w:characterSpacingControl w:val="doNotCompress"/>
  <w:hdrShapeDefaults>
    <o:shapelayout v:ext="edit">
      <o:idmap v:ext="edit" data="3,4"/>
    </o:shapelayout>
  </w:hdrShapeDefaults>
  <w:footnotePr>
    <w:numRestart w:val="eachSect"/>
  </w:footnotePr>
  <w:compat>
    <w:useFELayout/>
    <w:compatSetting w:name="compatibilityMode" w:uri="http://schemas.microsoft.com/office/word" w:val="12"/>
  </w:compat>
  <w:docVars>
    <w:docVar w:name="commondata" w:val="eyJoZGlkIjoiNzA0N2U0OTY4NDRmZmEzMDczM2I5ZjNkNmE1OTIzNzcifQ=="/>
  </w:docVars>
  <w:rsids>
    <w:rsidRoot w:val="0039461C"/>
    <w:rsid w:val="00046A08"/>
    <w:rsid w:val="00067F2E"/>
    <w:rsid w:val="000A56DA"/>
    <w:rsid w:val="00113410"/>
    <w:rsid w:val="001504A3"/>
    <w:rsid w:val="00186357"/>
    <w:rsid w:val="001C0AB6"/>
    <w:rsid w:val="0039461C"/>
    <w:rsid w:val="003D5EC4"/>
    <w:rsid w:val="00490CC3"/>
    <w:rsid w:val="004D3E32"/>
    <w:rsid w:val="0058124D"/>
    <w:rsid w:val="005B6CFC"/>
    <w:rsid w:val="00667E7D"/>
    <w:rsid w:val="0073794B"/>
    <w:rsid w:val="00874CCB"/>
    <w:rsid w:val="008F5DAD"/>
    <w:rsid w:val="00C70BAD"/>
    <w:rsid w:val="00D06CF6"/>
    <w:rsid w:val="00D51606"/>
    <w:rsid w:val="00DE704E"/>
    <w:rsid w:val="00E03EED"/>
    <w:rsid w:val="00E71AE9"/>
    <w:rsid w:val="00E72D32"/>
    <w:rsid w:val="00EE305E"/>
    <w:rsid w:val="233F7235"/>
    <w:rsid w:val="3DE37E32"/>
    <w:rsid w:val="41ED4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zh-CN" w:bidi="ar-SA"/>
    </w:rPr>
  </w:style>
  <w:style w:type="paragraph" w:styleId="2">
    <w:name w:val="heading 1"/>
    <w:basedOn w:val="1"/>
    <w:next w:val="3"/>
    <w:link w:val="34"/>
    <w:qFormat/>
    <w:uiPriority w:val="9"/>
    <w:pPr>
      <w:keepNext/>
      <w:keepLines/>
      <w:spacing w:before="360" w:after="80"/>
      <w:outlineLvl w:val="0"/>
    </w:pPr>
    <w:rPr>
      <w:rFonts w:asciiTheme="majorHAnsi" w:hAnsiTheme="majorHAnsi" w:eastAsiaTheme="majorEastAsia" w:cstheme="majorBidi"/>
      <w:b/>
      <w:bCs/>
      <w:color w:val="000000"/>
      <w:sz w:val="44"/>
      <w:szCs w:val="44"/>
    </w:rPr>
  </w:style>
  <w:style w:type="paragraph" w:styleId="4">
    <w:name w:val="heading 2"/>
    <w:basedOn w:val="1"/>
    <w:next w:val="3"/>
    <w:link w:val="35"/>
    <w:unhideWhenUsed/>
    <w:qFormat/>
    <w:uiPriority w:val="9"/>
    <w:pPr>
      <w:keepNext/>
      <w:keepLines/>
      <w:spacing w:before="240" w:after="80"/>
      <w:outlineLvl w:val="1"/>
    </w:pPr>
    <w:rPr>
      <w:rFonts w:asciiTheme="majorHAnsi" w:hAnsiTheme="majorHAnsi" w:eastAsiaTheme="majorEastAsia" w:cstheme="majorBidi"/>
      <w:b/>
      <w:bCs/>
      <w:color w:val="000000"/>
      <w:sz w:val="36"/>
      <w:szCs w:val="36"/>
    </w:rPr>
  </w:style>
  <w:style w:type="paragraph" w:styleId="5">
    <w:name w:val="heading 3"/>
    <w:basedOn w:val="1"/>
    <w:next w:val="3"/>
    <w:link w:val="36"/>
    <w:unhideWhenUsed/>
    <w:qFormat/>
    <w:uiPriority w:val="9"/>
    <w:pPr>
      <w:keepNext/>
      <w:keepLines/>
      <w:spacing w:before="200" w:after="80"/>
      <w:outlineLvl w:val="2"/>
    </w:pPr>
    <w:rPr>
      <w:rFonts w:asciiTheme="majorHAnsi" w:hAnsiTheme="majorHAnsi" w:eastAsiaTheme="majorEastAsia" w:cstheme="majorBidi"/>
      <w:b/>
      <w:bCs/>
      <w:color w:val="000000"/>
      <w:sz w:val="28"/>
      <w:szCs w:val="28"/>
    </w:rPr>
  </w:style>
  <w:style w:type="paragraph" w:styleId="6">
    <w:name w:val="heading 4"/>
    <w:basedOn w:val="1"/>
    <w:next w:val="3"/>
    <w:link w:val="37"/>
    <w:unhideWhenUsed/>
    <w:qFormat/>
    <w:uiPriority w:val="9"/>
    <w:pPr>
      <w:keepNext/>
      <w:keepLines/>
      <w:spacing w:before="160" w:after="60"/>
      <w:outlineLvl w:val="3"/>
    </w:pPr>
    <w:rPr>
      <w:rFonts w:asciiTheme="majorHAnsi" w:hAnsiTheme="majorHAnsi" w:eastAsiaTheme="majorEastAsia" w:cstheme="majorBidi"/>
      <w:b/>
      <w:bCs/>
      <w:color w:val="000000"/>
    </w:rPr>
  </w:style>
  <w:style w:type="paragraph" w:styleId="7">
    <w:name w:val="heading 5"/>
    <w:basedOn w:val="1"/>
    <w:next w:val="3"/>
    <w:link w:val="38"/>
    <w:unhideWhenUsed/>
    <w:qFormat/>
    <w:uiPriority w:val="9"/>
    <w:pPr>
      <w:keepNext/>
      <w:keepLines/>
      <w:spacing w:before="160" w:after="60"/>
      <w:outlineLvl w:val="4"/>
    </w:pPr>
    <w:rPr>
      <w:rFonts w:asciiTheme="majorHAnsi" w:hAnsiTheme="majorHAnsi" w:eastAsiaTheme="majorEastAsia" w:cstheme="majorBidi"/>
      <w:b/>
      <w:bCs/>
      <w:color w:val="000000"/>
      <w:sz w:val="22"/>
      <w:szCs w:val="22"/>
    </w:rPr>
  </w:style>
  <w:style w:type="paragraph" w:styleId="8">
    <w:name w:val="heading 6"/>
    <w:basedOn w:val="1"/>
    <w:next w:val="3"/>
    <w:link w:val="39"/>
    <w:unhideWhenUsed/>
    <w:qFormat/>
    <w:uiPriority w:val="9"/>
    <w:pPr>
      <w:keepNext/>
      <w:keepLines/>
      <w:spacing w:before="120" w:after="40"/>
      <w:outlineLvl w:val="5"/>
    </w:pPr>
    <w:rPr>
      <w:rFonts w:asciiTheme="majorHAnsi" w:hAnsiTheme="majorHAnsi" w:eastAsiaTheme="majorEastAsia" w:cstheme="majorBidi"/>
      <w:b/>
      <w:bCs/>
      <w:color w:val="000000"/>
      <w:sz w:val="21"/>
      <w:szCs w:val="21"/>
    </w:rPr>
  </w:style>
  <w:style w:type="paragraph" w:styleId="9">
    <w:name w:val="heading 7"/>
    <w:basedOn w:val="1"/>
    <w:next w:val="3"/>
    <w:link w:val="40"/>
    <w:unhideWhenUsed/>
    <w:qFormat/>
    <w:uiPriority w:val="9"/>
    <w:pPr>
      <w:keepNext/>
      <w:keepLines/>
      <w:spacing w:before="120" w:after="40"/>
      <w:outlineLvl w:val="6"/>
    </w:pPr>
    <w:rPr>
      <w:rFonts w:asciiTheme="majorHAnsi" w:hAnsiTheme="majorHAnsi" w:eastAsiaTheme="majorEastAsia" w:cstheme="majorBidi"/>
      <w:b/>
      <w:bCs/>
      <w:color w:val="000000"/>
      <w:sz w:val="21"/>
      <w:szCs w:val="21"/>
    </w:rPr>
  </w:style>
  <w:style w:type="paragraph" w:styleId="10">
    <w:name w:val="heading 8"/>
    <w:basedOn w:val="1"/>
    <w:next w:val="3"/>
    <w:link w:val="41"/>
    <w:unhideWhenUsed/>
    <w:qFormat/>
    <w:uiPriority w:val="9"/>
    <w:pPr>
      <w:keepNext/>
      <w:keepLines/>
      <w:spacing w:before="120" w:after="40"/>
      <w:outlineLvl w:val="7"/>
    </w:pPr>
    <w:rPr>
      <w:rFonts w:asciiTheme="majorHAnsi" w:hAnsiTheme="majorHAnsi" w:eastAsiaTheme="majorEastAsia" w:cstheme="majorBidi"/>
      <w:b/>
      <w:bCs/>
      <w:color w:val="000000"/>
      <w:sz w:val="21"/>
      <w:szCs w:val="21"/>
    </w:rPr>
  </w:style>
  <w:style w:type="paragraph" w:styleId="11">
    <w:name w:val="heading 9"/>
    <w:basedOn w:val="1"/>
    <w:next w:val="3"/>
    <w:link w:val="42"/>
    <w:unhideWhenUsed/>
    <w:qFormat/>
    <w:uiPriority w:val="9"/>
    <w:pPr>
      <w:keepNext/>
      <w:keepLines/>
      <w:spacing w:before="120" w:after="40"/>
      <w:outlineLvl w:val="8"/>
    </w:pPr>
    <w:rPr>
      <w:rFonts w:asciiTheme="majorHAnsi" w:hAnsiTheme="majorHAnsi" w:eastAsiaTheme="majorEastAsia" w:cstheme="majorBidi"/>
      <w:b/>
      <w:bCs/>
      <w:color w:val="000000"/>
      <w:sz w:val="21"/>
      <w:szCs w:val="21"/>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style>
  <w:style w:type="paragraph" w:styleId="12">
    <w:name w:val="caption"/>
    <w:basedOn w:val="1"/>
    <w:link w:val="24"/>
    <w:qFormat/>
    <w:uiPriority w:val="0"/>
    <w:pPr>
      <w:spacing w:after="120"/>
    </w:pPr>
    <w:rPr>
      <w:i/>
    </w:rPr>
  </w:style>
  <w:style w:type="paragraph" w:styleId="13">
    <w:name w:val="Block Text"/>
    <w:basedOn w:val="3"/>
    <w:next w:val="3"/>
    <w:unhideWhenUsed/>
    <w:qFormat/>
    <w:uiPriority w:val="9"/>
    <w:pPr>
      <w:pBdr>
        <w:left w:val="single" w:color="CCCCCC" w:sz="18" w:space="12"/>
      </w:pBdr>
      <w:spacing w:before="100" w:after="100"/>
      <w:ind w:left="480" w:right="480"/>
    </w:pPr>
    <w:rPr>
      <w:color w:val="999999"/>
    </w:rPr>
  </w:style>
  <w:style w:type="paragraph" w:styleId="14">
    <w:name w:val="Date"/>
    <w:basedOn w:val="15"/>
    <w:next w:val="3"/>
    <w:qFormat/>
    <w:uiPriority w:val="0"/>
    <w:pPr>
      <w:keepNext/>
      <w:keepLines/>
    </w:pPr>
    <w:rPr>
      <w:sz w:val="24"/>
      <w:szCs w:val="24"/>
    </w:rPr>
  </w:style>
  <w:style w:type="paragraph" w:styleId="15">
    <w:name w:val="Title"/>
    <w:basedOn w:val="1"/>
    <w:next w:val="3"/>
    <w:link w:val="28"/>
    <w:qFormat/>
    <w:uiPriority w:val="10"/>
    <w:pPr>
      <w:spacing w:after="80"/>
      <w:contextualSpacing/>
      <w:jc w:val="center"/>
    </w:pPr>
    <w:rPr>
      <w:rFonts w:asciiTheme="majorHAnsi" w:hAnsiTheme="majorHAnsi" w:eastAsiaTheme="majorEastAsia" w:cstheme="majorBidi"/>
      <w:sz w:val="56"/>
      <w:szCs w:val="56"/>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Subtitle"/>
    <w:basedOn w:val="15"/>
    <w:next w:val="3"/>
    <w:link w:val="29"/>
    <w:qFormat/>
    <w:uiPriority w:val="11"/>
    <w:rPr>
      <w:spacing w:val="15"/>
      <w:sz w:val="28"/>
      <w:szCs w:val="28"/>
    </w:rPr>
  </w:style>
  <w:style w:type="paragraph" w:styleId="19">
    <w:name w:val="footnote text"/>
    <w:basedOn w:val="1"/>
    <w:unhideWhenUsed/>
    <w:qFormat/>
    <w:uiPriority w:val="9"/>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basedOn w:val="24"/>
    <w:qFormat/>
    <w:uiPriority w:val="0"/>
    <w:rPr>
      <w:color w:val="156082" w:themeColor="accent1"/>
    </w:rPr>
  </w:style>
  <w:style w:type="character" w:customStyle="1" w:styleId="24">
    <w:name w:val="题注 Char"/>
    <w:basedOn w:val="22"/>
    <w:link w:val="12"/>
    <w:qFormat/>
    <w:uiPriority w:val="0"/>
  </w:style>
  <w:style w:type="character" w:styleId="25">
    <w:name w:val="footnote reference"/>
    <w:basedOn w:val="24"/>
    <w:qFormat/>
    <w:uiPriority w:val="0"/>
    <w:rPr>
      <w:vertAlign w:val="superscript"/>
    </w:rPr>
  </w:style>
  <w:style w:type="paragraph" w:customStyle="1" w:styleId="26">
    <w:name w:val="First Paragraph"/>
    <w:basedOn w:val="3"/>
    <w:next w:val="3"/>
    <w:qFormat/>
    <w:uiPriority w:val="0"/>
  </w:style>
  <w:style w:type="paragraph" w:customStyle="1" w:styleId="27">
    <w:name w:val="Compact"/>
    <w:basedOn w:val="3"/>
    <w:qFormat/>
    <w:uiPriority w:val="0"/>
  </w:style>
  <w:style w:type="character" w:customStyle="1" w:styleId="28">
    <w:name w:val="标题 Char"/>
    <w:basedOn w:val="22"/>
    <w:link w:val="15"/>
    <w:qFormat/>
    <w:uiPriority w:val="10"/>
    <w:rPr>
      <w:rFonts w:asciiTheme="majorHAnsi" w:hAnsiTheme="majorHAnsi" w:eastAsiaTheme="majorEastAsia" w:cstheme="majorBidi"/>
      <w:sz w:val="56"/>
      <w:szCs w:val="56"/>
    </w:rPr>
  </w:style>
  <w:style w:type="character" w:customStyle="1" w:styleId="29">
    <w:name w:val="副标题 Char"/>
    <w:basedOn w:val="22"/>
    <w:link w:val="18"/>
    <w:qFormat/>
    <w:uiPriority w:val="11"/>
    <w:rPr>
      <w:rFonts w:eastAsiaTheme="majorEastAsia" w:cstheme="majorBidi"/>
      <w:color w:val="585858" w:themeColor="text1" w:themeTint="A6"/>
      <w:spacing w:val="15"/>
      <w:sz w:val="28"/>
      <w:szCs w:val="28"/>
    </w:rPr>
  </w:style>
  <w:style w:type="paragraph" w:customStyle="1" w:styleId="30">
    <w:name w:val="Author"/>
    <w:basedOn w:val="15"/>
    <w:next w:val="3"/>
    <w:qFormat/>
    <w:uiPriority w:val="0"/>
    <w:pPr>
      <w:keepNext/>
      <w:keepLines/>
    </w:pPr>
    <w:rPr>
      <w:sz w:val="24"/>
      <w:szCs w:val="24"/>
    </w:rPr>
  </w:style>
  <w:style w:type="paragraph" w:customStyle="1" w:styleId="31">
    <w:name w:val="Abstract Title"/>
    <w:basedOn w:val="1"/>
    <w:next w:val="32"/>
    <w:qFormat/>
    <w:uiPriority w:val="0"/>
    <w:pPr>
      <w:keepNext/>
      <w:keepLines/>
      <w:spacing w:before="300"/>
      <w:jc w:val="center"/>
    </w:pPr>
    <w:rPr>
      <w:b/>
      <w:sz w:val="20"/>
      <w:szCs w:val="20"/>
    </w:rPr>
  </w:style>
  <w:style w:type="paragraph" w:customStyle="1" w:styleId="32">
    <w:name w:val="Abstract"/>
    <w:basedOn w:val="1"/>
    <w:next w:val="3"/>
    <w:qFormat/>
    <w:uiPriority w:val="0"/>
    <w:pPr>
      <w:keepNext/>
      <w:keepLines/>
      <w:spacing w:before="100" w:after="300"/>
    </w:pPr>
    <w:rPr>
      <w:sz w:val="20"/>
      <w:szCs w:val="20"/>
    </w:rPr>
  </w:style>
  <w:style w:type="paragraph" w:customStyle="1" w:styleId="33">
    <w:name w:val="Bibliography"/>
    <w:basedOn w:val="1"/>
    <w:qFormat/>
    <w:uiPriority w:val="0"/>
  </w:style>
  <w:style w:type="character" w:customStyle="1" w:styleId="34">
    <w:name w:val="标题 1 Char"/>
    <w:basedOn w:val="22"/>
    <w:link w:val="2"/>
    <w:qFormat/>
    <w:uiPriority w:val="9"/>
    <w:rPr>
      <w:rFonts w:asciiTheme="majorHAnsi" w:hAnsiTheme="majorHAnsi" w:eastAsiaTheme="majorEastAsia" w:cstheme="majorBidi"/>
      <w:b/>
      <w:bCs/>
      <w:color w:val="000000"/>
      <w:sz w:val="44"/>
      <w:szCs w:val="44"/>
    </w:rPr>
  </w:style>
  <w:style w:type="character" w:customStyle="1" w:styleId="35">
    <w:name w:val="标题 2 Char"/>
    <w:basedOn w:val="22"/>
    <w:link w:val="4"/>
    <w:qFormat/>
    <w:uiPriority w:val="9"/>
    <w:rPr>
      <w:rFonts w:asciiTheme="majorHAnsi" w:hAnsiTheme="majorHAnsi" w:eastAsiaTheme="majorEastAsia" w:cstheme="majorBidi"/>
      <w:b/>
      <w:bCs/>
      <w:color w:val="000000"/>
      <w:sz w:val="36"/>
      <w:szCs w:val="36"/>
    </w:rPr>
  </w:style>
  <w:style w:type="character" w:customStyle="1" w:styleId="36">
    <w:name w:val="标题 3 Char"/>
    <w:basedOn w:val="22"/>
    <w:link w:val="5"/>
    <w:qFormat/>
    <w:uiPriority w:val="9"/>
    <w:rPr>
      <w:rFonts w:asciiTheme="majorHAnsi" w:hAnsiTheme="majorHAnsi" w:eastAsiaTheme="majorEastAsia" w:cstheme="majorBidi"/>
      <w:b/>
      <w:bCs/>
      <w:color w:val="000000"/>
      <w:sz w:val="28"/>
      <w:szCs w:val="28"/>
    </w:rPr>
  </w:style>
  <w:style w:type="character" w:customStyle="1" w:styleId="37">
    <w:name w:val="标题 4 Char"/>
    <w:basedOn w:val="22"/>
    <w:link w:val="6"/>
    <w:qFormat/>
    <w:uiPriority w:val="9"/>
    <w:rPr>
      <w:rFonts w:asciiTheme="majorHAnsi" w:hAnsiTheme="majorHAnsi" w:eastAsiaTheme="majorEastAsia" w:cstheme="majorBidi"/>
      <w:b/>
      <w:bCs/>
      <w:color w:val="000000"/>
      <w:sz w:val="24"/>
      <w:szCs w:val="24"/>
    </w:rPr>
  </w:style>
  <w:style w:type="character" w:customStyle="1" w:styleId="38">
    <w:name w:val="标题 5 Char"/>
    <w:basedOn w:val="22"/>
    <w:link w:val="7"/>
    <w:qFormat/>
    <w:uiPriority w:val="9"/>
    <w:rPr>
      <w:rFonts w:asciiTheme="majorHAnsi" w:hAnsiTheme="majorHAnsi" w:eastAsiaTheme="majorEastAsia" w:cstheme="majorBidi"/>
      <w:b/>
      <w:bCs/>
      <w:color w:val="000000"/>
      <w:sz w:val="22"/>
      <w:szCs w:val="22"/>
    </w:rPr>
  </w:style>
  <w:style w:type="character" w:customStyle="1" w:styleId="39">
    <w:name w:val="标题 6 Char"/>
    <w:basedOn w:val="22"/>
    <w:link w:val="8"/>
    <w:qFormat/>
    <w:uiPriority w:val="9"/>
    <w:rPr>
      <w:rFonts w:asciiTheme="majorHAnsi" w:hAnsiTheme="majorHAnsi" w:eastAsiaTheme="majorEastAsia" w:cstheme="majorBidi"/>
      <w:b/>
      <w:bCs/>
      <w:color w:val="000000"/>
      <w:sz w:val="21"/>
      <w:szCs w:val="21"/>
    </w:rPr>
  </w:style>
  <w:style w:type="character" w:customStyle="1" w:styleId="40">
    <w:name w:val="标题 7 Char"/>
    <w:basedOn w:val="22"/>
    <w:link w:val="9"/>
    <w:qFormat/>
    <w:uiPriority w:val="9"/>
    <w:rPr>
      <w:rFonts w:asciiTheme="majorHAnsi" w:hAnsiTheme="majorHAnsi" w:eastAsiaTheme="majorEastAsia" w:cstheme="majorBidi"/>
      <w:b/>
      <w:bCs/>
      <w:color w:val="000000"/>
      <w:sz w:val="21"/>
      <w:szCs w:val="21"/>
    </w:rPr>
  </w:style>
  <w:style w:type="character" w:customStyle="1" w:styleId="41">
    <w:name w:val="标题 8 Char"/>
    <w:basedOn w:val="22"/>
    <w:link w:val="10"/>
    <w:qFormat/>
    <w:uiPriority w:val="9"/>
    <w:rPr>
      <w:rFonts w:asciiTheme="majorHAnsi" w:hAnsiTheme="majorHAnsi" w:eastAsiaTheme="majorEastAsia" w:cstheme="majorBidi"/>
      <w:b/>
      <w:bCs/>
      <w:color w:val="000000"/>
      <w:sz w:val="21"/>
      <w:szCs w:val="21"/>
    </w:rPr>
  </w:style>
  <w:style w:type="character" w:customStyle="1" w:styleId="42">
    <w:name w:val="标题 9 Char"/>
    <w:basedOn w:val="22"/>
    <w:link w:val="11"/>
    <w:qFormat/>
    <w:uiPriority w:val="9"/>
    <w:rPr>
      <w:rFonts w:asciiTheme="majorHAnsi" w:hAnsiTheme="majorHAnsi" w:eastAsiaTheme="majorEastAsia" w:cstheme="majorBidi"/>
      <w:b/>
      <w:bCs/>
      <w:color w:val="000000"/>
      <w:sz w:val="21"/>
      <w:szCs w:val="21"/>
    </w:rPr>
  </w:style>
  <w:style w:type="paragraph" w:customStyle="1" w:styleId="43">
    <w:name w:val="Footnote Block Text"/>
    <w:basedOn w:val="19"/>
    <w:next w:val="19"/>
    <w:unhideWhenUsed/>
    <w:qFormat/>
    <w:uiPriority w:val="9"/>
    <w:pPr>
      <w:spacing w:before="100" w:after="100"/>
      <w:ind w:left="480" w:right="480"/>
    </w:pPr>
  </w:style>
  <w:style w:type="table" w:customStyle="1" w:styleId="44">
    <w:name w:val="Table"/>
    <w:unhideWhenUse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5" w:type="dxa"/>
        <w:left w:w="108" w:type="dxa"/>
        <w:bottom w:w="55" w:type="dxa"/>
        <w:right w:w="108" w:type="dxa"/>
      </w:tblCellMar>
    </w:tblPr>
    <w:tblStylePr w:type="firstRow">
      <w:rPr>
        <w:b/>
        <w:bCs/>
      </w:rPr>
      <w:tcPr>
        <w:tcBorders>
          <w:bottom w:val="single" w:color="000000" w:sz="8" w:space="0"/>
        </w:tcBorders>
        <w:vAlign w:val="bottom"/>
      </w:tcPr>
    </w:tblStylePr>
  </w:style>
  <w:style w:type="table" w:customStyle="1" w:styleId="45">
    <w:name w:val="LayoutTable"/>
    <w:qFormat/>
    <w:uiPriority w:val="0"/>
    <w:tblPr>
      <w:tblCellMar>
        <w:top w:w="0" w:type="dxa"/>
        <w:left w:w="0" w:type="dxa"/>
        <w:bottom w:w="0" w:type="dxa"/>
        <w:right w:w="0" w:type="dxa"/>
      </w:tblCellMar>
    </w:tblPr>
  </w:style>
  <w:style w:type="paragraph" w:customStyle="1" w:styleId="46">
    <w:name w:val="Definition Term"/>
    <w:basedOn w:val="1"/>
    <w:next w:val="47"/>
    <w:qFormat/>
    <w:uiPriority w:val="0"/>
    <w:pPr>
      <w:keepNext/>
      <w:keepLines/>
    </w:pPr>
    <w:rPr>
      <w:b/>
    </w:rPr>
  </w:style>
  <w:style w:type="paragraph" w:customStyle="1" w:styleId="47">
    <w:name w:val="Definition"/>
    <w:basedOn w:val="1"/>
    <w:qFormat/>
    <w:uiPriority w:val="0"/>
  </w:style>
  <w:style w:type="paragraph" w:customStyle="1" w:styleId="48">
    <w:name w:val="Table Caption"/>
    <w:basedOn w:val="12"/>
    <w:qFormat/>
    <w:uiPriority w:val="0"/>
    <w:pPr>
      <w:keepNext/>
    </w:pPr>
  </w:style>
  <w:style w:type="paragraph" w:customStyle="1" w:styleId="49">
    <w:name w:val="Image Caption"/>
    <w:basedOn w:val="12"/>
    <w:qFormat/>
    <w:uiPriority w:val="0"/>
  </w:style>
  <w:style w:type="paragraph" w:customStyle="1" w:styleId="50">
    <w:name w:val="Figure"/>
    <w:basedOn w:val="1"/>
    <w:qFormat/>
    <w:uiPriority w:val="0"/>
  </w:style>
  <w:style w:type="paragraph" w:customStyle="1" w:styleId="51">
    <w:name w:val="Captioned Figure"/>
    <w:basedOn w:val="50"/>
    <w:qFormat/>
    <w:uiPriority w:val="0"/>
    <w:pPr>
      <w:keepNext/>
    </w:pPr>
  </w:style>
  <w:style w:type="paragraph" w:customStyle="1" w:styleId="52">
    <w:name w:val="Source Code"/>
    <w:basedOn w:val="1"/>
    <w:link w:val="53"/>
    <w:qFormat/>
    <w:uiPriority w:val="9"/>
    <w:pPr>
      <w:shd w:val="clear" w:color="auto" w:fill="F0F0F0"/>
      <w:spacing w:before="100" w:after="100"/>
      <w:ind w:left="240" w:right="240"/>
    </w:pPr>
    <w:rPr>
      <w:rFonts w:ascii="Consolas" w:hAnsi="Consolas"/>
      <w:color w:val="333333"/>
      <w:sz w:val="22"/>
    </w:rPr>
  </w:style>
  <w:style w:type="character" w:customStyle="1" w:styleId="53">
    <w:name w:val="Verbatim Char"/>
    <w:basedOn w:val="24"/>
    <w:link w:val="52"/>
    <w:qFormat/>
    <w:uiPriority w:val="0"/>
    <w:rPr>
      <w:rFonts w:ascii="Consolas" w:hAnsi="Consolas"/>
      <w:color w:val="333333"/>
      <w:sz w:val="22"/>
      <w:shd w:val="clear" w:color="auto" w:fill="F0F0F0"/>
    </w:rPr>
  </w:style>
  <w:style w:type="character" w:customStyle="1" w:styleId="54">
    <w:name w:val="Section Number"/>
    <w:basedOn w:val="24"/>
    <w:qFormat/>
    <w:uiPriority w:val="0"/>
  </w:style>
  <w:style w:type="paragraph" w:customStyle="1" w:styleId="55">
    <w:name w:val="TOC Heading"/>
    <w:basedOn w:val="2"/>
    <w:next w:val="3"/>
    <w:unhideWhenUsed/>
    <w:qFormat/>
    <w:uiPriority w:val="39"/>
    <w:pPr>
      <w:spacing w:before="240" w:line="259" w:lineRule="auto"/>
      <w:outlineLvl w:val="9"/>
    </w:pPr>
    <w:rPr>
      <w:b w:val="0"/>
      <w:bCs w:val="0"/>
      <w:color w:val="0F4761" w:themeColor="accent1" w:themeShade="BF"/>
    </w:rPr>
  </w:style>
  <w:style w:type="character" w:customStyle="1" w:styleId="56">
    <w:name w:val="KeywordTok"/>
    <w:basedOn w:val="53"/>
    <w:qFormat/>
    <w:uiPriority w:val="0"/>
    <w:rPr>
      <w:rFonts w:ascii="Consolas" w:hAnsi="Consolas"/>
      <w:b/>
      <w:color w:val="007020"/>
      <w:sz w:val="22"/>
      <w:shd w:val="clear" w:color="auto" w:fill="F0F0F0"/>
    </w:rPr>
  </w:style>
  <w:style w:type="character" w:customStyle="1" w:styleId="57">
    <w:name w:val="DataTypeTok"/>
    <w:basedOn w:val="53"/>
    <w:qFormat/>
    <w:uiPriority w:val="0"/>
    <w:rPr>
      <w:rFonts w:ascii="Consolas" w:hAnsi="Consolas"/>
      <w:color w:val="902000"/>
      <w:sz w:val="22"/>
      <w:shd w:val="clear" w:color="auto" w:fill="F0F0F0"/>
    </w:rPr>
  </w:style>
  <w:style w:type="character" w:customStyle="1" w:styleId="58">
    <w:name w:val="DecValTok"/>
    <w:basedOn w:val="53"/>
    <w:qFormat/>
    <w:uiPriority w:val="0"/>
    <w:rPr>
      <w:rFonts w:ascii="Consolas" w:hAnsi="Consolas"/>
      <w:color w:val="40A070"/>
      <w:sz w:val="22"/>
      <w:shd w:val="clear" w:color="auto" w:fill="F0F0F0"/>
    </w:rPr>
  </w:style>
  <w:style w:type="character" w:customStyle="1" w:styleId="59">
    <w:name w:val="BaseNTok"/>
    <w:basedOn w:val="53"/>
    <w:qFormat/>
    <w:uiPriority w:val="0"/>
    <w:rPr>
      <w:rFonts w:ascii="Consolas" w:hAnsi="Consolas"/>
      <w:color w:val="40A070"/>
      <w:sz w:val="22"/>
      <w:shd w:val="clear" w:color="auto" w:fill="F0F0F0"/>
    </w:rPr>
  </w:style>
  <w:style w:type="character" w:customStyle="1" w:styleId="60">
    <w:name w:val="FloatTok"/>
    <w:basedOn w:val="53"/>
    <w:qFormat/>
    <w:uiPriority w:val="0"/>
    <w:rPr>
      <w:rFonts w:ascii="Consolas" w:hAnsi="Consolas"/>
      <w:color w:val="40A070"/>
      <w:sz w:val="22"/>
      <w:shd w:val="clear" w:color="auto" w:fill="F0F0F0"/>
    </w:rPr>
  </w:style>
  <w:style w:type="character" w:customStyle="1" w:styleId="61">
    <w:name w:val="ConstantTok"/>
    <w:basedOn w:val="53"/>
    <w:qFormat/>
    <w:uiPriority w:val="0"/>
    <w:rPr>
      <w:rFonts w:ascii="Consolas" w:hAnsi="Consolas"/>
      <w:color w:val="880000"/>
      <w:sz w:val="22"/>
      <w:shd w:val="clear" w:color="auto" w:fill="F0F0F0"/>
    </w:rPr>
  </w:style>
  <w:style w:type="character" w:customStyle="1" w:styleId="62">
    <w:name w:val="CharTok"/>
    <w:basedOn w:val="53"/>
    <w:qFormat/>
    <w:uiPriority w:val="0"/>
    <w:rPr>
      <w:rFonts w:ascii="Consolas" w:hAnsi="Consolas"/>
      <w:color w:val="4070A0"/>
      <w:sz w:val="22"/>
      <w:shd w:val="clear" w:color="auto" w:fill="F0F0F0"/>
    </w:rPr>
  </w:style>
  <w:style w:type="character" w:customStyle="1" w:styleId="63">
    <w:name w:val="SpecialCharTok"/>
    <w:basedOn w:val="53"/>
    <w:qFormat/>
    <w:uiPriority w:val="0"/>
    <w:rPr>
      <w:rFonts w:ascii="Consolas" w:hAnsi="Consolas"/>
      <w:color w:val="4070A0"/>
      <w:sz w:val="22"/>
      <w:shd w:val="clear" w:color="auto" w:fill="F0F0F0"/>
    </w:rPr>
  </w:style>
  <w:style w:type="character" w:customStyle="1" w:styleId="64">
    <w:name w:val="StringTok"/>
    <w:basedOn w:val="53"/>
    <w:qFormat/>
    <w:uiPriority w:val="0"/>
    <w:rPr>
      <w:rFonts w:ascii="Consolas" w:hAnsi="Consolas"/>
      <w:color w:val="4070A0"/>
      <w:sz w:val="22"/>
      <w:shd w:val="clear" w:color="auto" w:fill="F0F0F0"/>
    </w:rPr>
  </w:style>
  <w:style w:type="character" w:customStyle="1" w:styleId="65">
    <w:name w:val="VerbatimStringTok"/>
    <w:basedOn w:val="53"/>
    <w:qFormat/>
    <w:uiPriority w:val="0"/>
    <w:rPr>
      <w:rFonts w:ascii="Consolas" w:hAnsi="Consolas"/>
      <w:color w:val="4070A0"/>
      <w:sz w:val="22"/>
      <w:shd w:val="clear" w:color="auto" w:fill="F0F0F0"/>
    </w:rPr>
  </w:style>
  <w:style w:type="character" w:customStyle="1" w:styleId="66">
    <w:name w:val="SpecialStringTok"/>
    <w:basedOn w:val="53"/>
    <w:qFormat/>
    <w:uiPriority w:val="0"/>
    <w:rPr>
      <w:rFonts w:ascii="Consolas" w:hAnsi="Consolas"/>
      <w:color w:val="BB6688"/>
      <w:sz w:val="22"/>
      <w:shd w:val="clear" w:color="auto" w:fill="F0F0F0"/>
    </w:rPr>
  </w:style>
  <w:style w:type="character" w:customStyle="1" w:styleId="67">
    <w:name w:val="ImportTok"/>
    <w:basedOn w:val="53"/>
    <w:qFormat/>
    <w:uiPriority w:val="0"/>
    <w:rPr>
      <w:rFonts w:ascii="Consolas" w:hAnsi="Consolas"/>
      <w:b/>
      <w:color w:val="008000"/>
      <w:sz w:val="22"/>
      <w:shd w:val="clear" w:color="auto" w:fill="F0F0F0"/>
    </w:rPr>
  </w:style>
  <w:style w:type="character" w:customStyle="1" w:styleId="68">
    <w:name w:val="CommentTok"/>
    <w:basedOn w:val="53"/>
    <w:qFormat/>
    <w:uiPriority w:val="0"/>
    <w:rPr>
      <w:rFonts w:ascii="Consolas" w:hAnsi="Consolas"/>
      <w:i/>
      <w:color w:val="60A0B0"/>
      <w:sz w:val="22"/>
      <w:shd w:val="clear" w:color="auto" w:fill="F0F0F0"/>
    </w:rPr>
  </w:style>
  <w:style w:type="character" w:customStyle="1" w:styleId="69">
    <w:name w:val="DocumentationTok"/>
    <w:basedOn w:val="53"/>
    <w:qFormat/>
    <w:uiPriority w:val="0"/>
    <w:rPr>
      <w:rFonts w:ascii="Consolas" w:hAnsi="Consolas"/>
      <w:i/>
      <w:color w:val="BA2121"/>
      <w:sz w:val="22"/>
      <w:shd w:val="clear" w:color="auto" w:fill="F0F0F0"/>
    </w:rPr>
  </w:style>
  <w:style w:type="character" w:customStyle="1" w:styleId="70">
    <w:name w:val="AnnotationTok"/>
    <w:basedOn w:val="53"/>
    <w:qFormat/>
    <w:uiPriority w:val="0"/>
    <w:rPr>
      <w:rFonts w:ascii="Consolas" w:hAnsi="Consolas"/>
      <w:b/>
      <w:i/>
      <w:color w:val="60A0B0"/>
      <w:sz w:val="22"/>
      <w:shd w:val="clear" w:color="auto" w:fill="F0F0F0"/>
    </w:rPr>
  </w:style>
  <w:style w:type="character" w:customStyle="1" w:styleId="71">
    <w:name w:val="CommentVarTok"/>
    <w:basedOn w:val="53"/>
    <w:qFormat/>
    <w:uiPriority w:val="0"/>
    <w:rPr>
      <w:rFonts w:ascii="Consolas" w:hAnsi="Consolas"/>
      <w:b/>
      <w:i/>
      <w:color w:val="60A0B0"/>
      <w:sz w:val="22"/>
      <w:shd w:val="clear" w:color="auto" w:fill="F0F0F0"/>
    </w:rPr>
  </w:style>
  <w:style w:type="character" w:customStyle="1" w:styleId="72">
    <w:name w:val="OtherTok"/>
    <w:basedOn w:val="53"/>
    <w:qFormat/>
    <w:uiPriority w:val="0"/>
    <w:rPr>
      <w:rFonts w:ascii="Consolas" w:hAnsi="Consolas"/>
      <w:color w:val="007020"/>
      <w:sz w:val="22"/>
      <w:shd w:val="clear" w:color="auto" w:fill="F0F0F0"/>
    </w:rPr>
  </w:style>
  <w:style w:type="character" w:customStyle="1" w:styleId="73">
    <w:name w:val="FunctionTok"/>
    <w:basedOn w:val="53"/>
    <w:qFormat/>
    <w:uiPriority w:val="0"/>
    <w:rPr>
      <w:rFonts w:ascii="Consolas" w:hAnsi="Consolas"/>
      <w:color w:val="06287E"/>
      <w:sz w:val="22"/>
      <w:shd w:val="clear" w:color="auto" w:fill="F0F0F0"/>
    </w:rPr>
  </w:style>
  <w:style w:type="character" w:customStyle="1" w:styleId="74">
    <w:name w:val="VariableTok"/>
    <w:basedOn w:val="53"/>
    <w:qFormat/>
    <w:uiPriority w:val="0"/>
    <w:rPr>
      <w:rFonts w:ascii="Consolas" w:hAnsi="Consolas"/>
      <w:color w:val="19177C"/>
      <w:sz w:val="22"/>
      <w:shd w:val="clear" w:color="auto" w:fill="F0F0F0"/>
    </w:rPr>
  </w:style>
  <w:style w:type="character" w:customStyle="1" w:styleId="75">
    <w:name w:val="ControlFlowTok"/>
    <w:basedOn w:val="53"/>
    <w:qFormat/>
    <w:uiPriority w:val="0"/>
    <w:rPr>
      <w:rFonts w:ascii="Consolas" w:hAnsi="Consolas"/>
      <w:b/>
      <w:color w:val="007020"/>
      <w:sz w:val="22"/>
      <w:shd w:val="clear" w:color="auto" w:fill="F0F0F0"/>
    </w:rPr>
  </w:style>
  <w:style w:type="character" w:customStyle="1" w:styleId="76">
    <w:name w:val="OperatorTok"/>
    <w:basedOn w:val="53"/>
    <w:qFormat/>
    <w:uiPriority w:val="0"/>
    <w:rPr>
      <w:rFonts w:ascii="Consolas" w:hAnsi="Consolas"/>
      <w:color w:val="666666"/>
      <w:sz w:val="22"/>
      <w:shd w:val="clear" w:color="auto" w:fill="F0F0F0"/>
    </w:rPr>
  </w:style>
  <w:style w:type="character" w:customStyle="1" w:styleId="77">
    <w:name w:val="BuiltInTok"/>
    <w:basedOn w:val="53"/>
    <w:qFormat/>
    <w:uiPriority w:val="0"/>
    <w:rPr>
      <w:rFonts w:ascii="Consolas" w:hAnsi="Consolas"/>
      <w:color w:val="008000"/>
      <w:sz w:val="22"/>
      <w:shd w:val="clear" w:color="auto" w:fill="F0F0F0"/>
    </w:rPr>
  </w:style>
  <w:style w:type="character" w:customStyle="1" w:styleId="78">
    <w:name w:val="ExtensionTok"/>
    <w:basedOn w:val="53"/>
    <w:qFormat/>
    <w:uiPriority w:val="0"/>
    <w:rPr>
      <w:rFonts w:ascii="Consolas" w:hAnsi="Consolas"/>
      <w:color w:val="333333"/>
      <w:sz w:val="22"/>
      <w:shd w:val="clear" w:color="auto" w:fill="F0F0F0"/>
    </w:rPr>
  </w:style>
  <w:style w:type="character" w:customStyle="1" w:styleId="79">
    <w:name w:val="PreprocessorTok"/>
    <w:basedOn w:val="53"/>
    <w:qFormat/>
    <w:uiPriority w:val="0"/>
    <w:rPr>
      <w:rFonts w:ascii="Consolas" w:hAnsi="Consolas"/>
      <w:color w:val="BC7A00"/>
      <w:sz w:val="22"/>
      <w:shd w:val="clear" w:color="auto" w:fill="F0F0F0"/>
    </w:rPr>
  </w:style>
  <w:style w:type="character" w:customStyle="1" w:styleId="80">
    <w:name w:val="AttributeTok"/>
    <w:basedOn w:val="53"/>
    <w:qFormat/>
    <w:uiPriority w:val="0"/>
    <w:rPr>
      <w:rFonts w:ascii="Consolas" w:hAnsi="Consolas"/>
      <w:color w:val="7D9029"/>
      <w:sz w:val="22"/>
      <w:shd w:val="clear" w:color="auto" w:fill="F0F0F0"/>
    </w:rPr>
  </w:style>
  <w:style w:type="character" w:customStyle="1" w:styleId="81">
    <w:name w:val="RegionMarkerTok"/>
    <w:basedOn w:val="53"/>
    <w:qFormat/>
    <w:uiPriority w:val="0"/>
    <w:rPr>
      <w:rFonts w:ascii="Consolas" w:hAnsi="Consolas"/>
      <w:color w:val="333333"/>
      <w:sz w:val="22"/>
      <w:shd w:val="clear" w:color="auto" w:fill="F0F0F0"/>
    </w:rPr>
  </w:style>
  <w:style w:type="character" w:customStyle="1" w:styleId="82">
    <w:name w:val="InformationTok"/>
    <w:basedOn w:val="53"/>
    <w:qFormat/>
    <w:uiPriority w:val="0"/>
    <w:rPr>
      <w:rFonts w:ascii="Consolas" w:hAnsi="Consolas"/>
      <w:b/>
      <w:i/>
      <w:color w:val="60A0B0"/>
      <w:sz w:val="22"/>
      <w:shd w:val="clear" w:color="auto" w:fill="F0F0F0"/>
    </w:rPr>
  </w:style>
  <w:style w:type="character" w:customStyle="1" w:styleId="83">
    <w:name w:val="WarningTok"/>
    <w:basedOn w:val="53"/>
    <w:qFormat/>
    <w:uiPriority w:val="0"/>
    <w:rPr>
      <w:rFonts w:ascii="Consolas" w:hAnsi="Consolas"/>
      <w:b/>
      <w:i/>
      <w:color w:val="60A0B0"/>
      <w:sz w:val="22"/>
      <w:shd w:val="clear" w:color="auto" w:fill="F0F0F0"/>
    </w:rPr>
  </w:style>
  <w:style w:type="character" w:customStyle="1" w:styleId="84">
    <w:name w:val="AlertTok"/>
    <w:basedOn w:val="53"/>
    <w:qFormat/>
    <w:uiPriority w:val="0"/>
    <w:rPr>
      <w:rFonts w:ascii="Consolas" w:hAnsi="Consolas"/>
      <w:b/>
      <w:color w:val="FF0000"/>
      <w:sz w:val="22"/>
      <w:shd w:val="clear" w:color="auto" w:fill="F0F0F0"/>
    </w:rPr>
  </w:style>
  <w:style w:type="character" w:customStyle="1" w:styleId="85">
    <w:name w:val="ErrorTok"/>
    <w:basedOn w:val="53"/>
    <w:qFormat/>
    <w:uiPriority w:val="0"/>
    <w:rPr>
      <w:rFonts w:ascii="Consolas" w:hAnsi="Consolas"/>
      <w:b/>
      <w:color w:val="FF0000"/>
      <w:sz w:val="22"/>
      <w:shd w:val="clear" w:color="auto" w:fill="F0F0F0"/>
    </w:rPr>
  </w:style>
  <w:style w:type="character" w:customStyle="1" w:styleId="86">
    <w:name w:val="NormalTok"/>
    <w:basedOn w:val="53"/>
    <w:qFormat/>
    <w:uiPriority w:val="0"/>
    <w:rPr>
      <w:rFonts w:ascii="Consolas" w:hAnsi="Consolas"/>
      <w:color w:val="333333"/>
      <w:sz w:val="22"/>
      <w:shd w:val="clear" w:color="auto" w:fill="F0F0F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12242</Words>
  <Characters>12830</Characters>
  <Lines>94</Lines>
  <Paragraphs>26</Paragraphs>
  <TotalTime>0</TotalTime>
  <ScaleCrop>false</ScaleCrop>
  <LinksUpToDate>false</LinksUpToDate>
  <CharactersWithSpaces>13038</CharactersWithSpaces>
  <Application>WPS Office_11.8.2.1126_F1E327BC-269C-435d-A152-05C5408002CA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2026-07-14T14:22:00Z</dcterms:created>
  <dc:creator>喻怒潮</dc:creator>
  <cp:lastModifiedBy>hunanmzt</cp:lastModifiedBy>
  <dcterms:modified xsi:type="dcterms:W3CDTF">2026-10-16T10:32:33Z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{"ContentPropagator":"001191440101MA9Y9T4H7A00000","Label":"1","ReservedCode1":"T77U3vNJib/mNT9saq9BkYiS/zBVxaPhsroS0+MyM9I=","ProduceID":"doc_sgs:ab6aa1d3-858b-44a7-9b03-79897d36e8be","ReservedCode2":"T77U3vNJib/mNT9saq9BkYiS/zBVxaPhsroS0+MyM9I=","Propag</vt:lpwstr>
  </property>
  <property fmtid="{D5CDD505-2E9C-101B-9397-08002B2CF9AE}" pid="3" name="KSOProductBuildVer">
    <vt:lpwstr>2052-11.8.2.1126</vt:lpwstr>
  </property>
  <property fmtid="{D5CDD505-2E9C-101B-9397-08002B2CF9AE}" pid="4" name="ICV">
    <vt:lpwstr>8BA3D72CE61241D3870C6BFEE4167E3C_12</vt:lpwstr>
  </property>
</Properties>
</file>